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EF4" w14:textId="39B45691" w:rsidR="00C32431" w:rsidRDefault="00C32431" w:rsidP="00C32431">
      <w:pPr>
        <w:spacing w:line="0" w:lineRule="atLeast"/>
        <w:jc w:val="center"/>
        <w:rPr>
          <w:rFonts w:asciiTheme="majorHAnsi" w:eastAsia="Tahoma" w:hAnsiTheme="majorHAnsi" w:cstheme="majorHAnsi"/>
          <w:b/>
          <w:color w:val="595959"/>
          <w:sz w:val="32"/>
          <w:szCs w:val="32"/>
        </w:rPr>
      </w:pPr>
      <w:r>
        <w:rPr>
          <w:rFonts w:asciiTheme="majorHAnsi" w:eastAsia="Tahoma" w:hAnsiTheme="majorHAnsi" w:cstheme="majorHAnsi"/>
          <w:b/>
          <w:color w:val="595959"/>
          <w:sz w:val="32"/>
          <w:szCs w:val="32"/>
        </w:rPr>
        <w:t>PROCEDIMIENTO TRANSITORIO DE INFORMACIÓN DE TARIFAS</w:t>
      </w:r>
    </w:p>
    <w:p w14:paraId="5669CF5E" w14:textId="77777777" w:rsidR="00A00E6A" w:rsidRDefault="00A00E6A" w:rsidP="00C32431">
      <w:pPr>
        <w:spacing w:line="0" w:lineRule="atLeast"/>
        <w:jc w:val="center"/>
        <w:rPr>
          <w:rFonts w:asciiTheme="majorHAnsi" w:eastAsia="Tahoma" w:hAnsiTheme="majorHAnsi" w:cstheme="majorHAnsi"/>
          <w:b/>
          <w:color w:val="595959"/>
          <w:sz w:val="32"/>
          <w:szCs w:val="32"/>
        </w:rPr>
      </w:pPr>
    </w:p>
    <w:p w14:paraId="0FFC3788" w14:textId="77777777" w:rsidR="00C32431" w:rsidRPr="00774462" w:rsidRDefault="00C32431" w:rsidP="00C32431">
      <w:pPr>
        <w:spacing w:line="0" w:lineRule="atLeast"/>
        <w:ind w:left="1418" w:right="1989"/>
        <w:jc w:val="center"/>
        <w:rPr>
          <w:rFonts w:asciiTheme="majorHAnsi" w:eastAsia="Tahoma" w:hAnsiTheme="majorHAnsi" w:cstheme="majorHAnsi"/>
          <w:b/>
          <w:color w:val="595959"/>
        </w:rPr>
      </w:pPr>
      <w:r w:rsidRPr="00774462">
        <w:rPr>
          <w:rFonts w:asciiTheme="majorHAnsi" w:eastAsia="Tahoma" w:hAnsiTheme="majorHAnsi" w:cstheme="majorHAnsi"/>
          <w:b/>
          <w:color w:val="595959"/>
        </w:rPr>
        <w:t>(Artículo 5.1.1.2. de la Resolución CRA 151 de 2001, modificado por el artículo 9 de la Resolución CRA 919 de 2020)</w:t>
      </w:r>
    </w:p>
    <w:p w14:paraId="59EB1B6B" w14:textId="77777777" w:rsidR="00C32431" w:rsidRDefault="00C32431" w:rsidP="00C32431">
      <w:pPr>
        <w:spacing w:line="0" w:lineRule="atLeast"/>
        <w:jc w:val="center"/>
        <w:rPr>
          <w:rFonts w:asciiTheme="majorHAnsi" w:eastAsia="Tahoma" w:hAnsiTheme="majorHAnsi" w:cstheme="majorHAnsi"/>
          <w:b/>
          <w:color w:val="595959"/>
          <w:sz w:val="36"/>
          <w:szCs w:val="36"/>
        </w:rPr>
      </w:pPr>
    </w:p>
    <w:p w14:paraId="2B87CEDC" w14:textId="77777777" w:rsidR="00C32431" w:rsidRPr="00774462" w:rsidRDefault="00C32431" w:rsidP="00C32431">
      <w:pPr>
        <w:spacing w:line="0" w:lineRule="atLeast"/>
        <w:ind w:left="1418" w:hanging="1418"/>
        <w:jc w:val="both"/>
        <w:rPr>
          <w:rFonts w:asciiTheme="majorHAnsi" w:eastAsia="Tahoma" w:hAnsiTheme="majorHAnsi" w:cstheme="majorHAnsi"/>
          <w:b/>
          <w:color w:val="595959"/>
          <w:sz w:val="24"/>
          <w:szCs w:val="24"/>
        </w:rPr>
      </w:pPr>
      <w:r w:rsidRPr="00774462">
        <w:rPr>
          <w:rFonts w:asciiTheme="majorHAnsi" w:eastAsia="Tahoma" w:hAnsiTheme="majorHAnsi" w:cstheme="majorHAnsi"/>
          <w:b/>
          <w:color w:val="595959"/>
          <w:sz w:val="24"/>
          <w:szCs w:val="24"/>
        </w:rPr>
        <w:t xml:space="preserve">Dirigido a:  </w:t>
      </w:r>
      <w:r>
        <w:rPr>
          <w:rFonts w:asciiTheme="majorHAnsi" w:eastAsia="Tahoma" w:hAnsiTheme="majorHAnsi" w:cstheme="majorHAnsi"/>
          <w:b/>
          <w:color w:val="595959"/>
          <w:sz w:val="24"/>
          <w:szCs w:val="24"/>
        </w:rPr>
        <w:tab/>
      </w:r>
      <w:r w:rsidRPr="00774462">
        <w:rPr>
          <w:rFonts w:asciiTheme="majorHAnsi" w:eastAsia="Tahoma" w:hAnsiTheme="majorHAnsi" w:cstheme="majorHAnsi"/>
          <w:b/>
          <w:color w:val="595959"/>
          <w:sz w:val="24"/>
          <w:szCs w:val="24"/>
        </w:rPr>
        <w:t>Usuarios y Vocales de Control de los Comités de Desarrollo y Control Social</w:t>
      </w:r>
    </w:p>
    <w:p w14:paraId="1417927C" w14:textId="78244440" w:rsidR="00C32431" w:rsidRPr="00774462" w:rsidRDefault="00C32431" w:rsidP="00C32431">
      <w:pPr>
        <w:spacing w:line="0" w:lineRule="atLeast"/>
        <w:ind w:left="1418" w:hanging="1418"/>
        <w:jc w:val="both"/>
        <w:rPr>
          <w:rFonts w:asciiTheme="majorHAnsi" w:eastAsia="Tahoma" w:hAnsiTheme="majorHAnsi" w:cstheme="majorHAnsi"/>
          <w:b/>
          <w:color w:val="595959"/>
          <w:sz w:val="24"/>
          <w:szCs w:val="24"/>
        </w:rPr>
      </w:pPr>
      <w:r w:rsidRPr="00774462">
        <w:rPr>
          <w:rFonts w:asciiTheme="majorHAnsi" w:eastAsia="Tahoma" w:hAnsiTheme="majorHAnsi" w:cstheme="majorHAnsi"/>
          <w:b/>
          <w:color w:val="595959"/>
          <w:sz w:val="24"/>
          <w:szCs w:val="24"/>
        </w:rPr>
        <w:t>De:</w:t>
      </w:r>
      <w:r w:rsidRPr="00774462">
        <w:rPr>
          <w:rFonts w:asciiTheme="majorHAnsi" w:eastAsia="Tahoma" w:hAnsiTheme="majorHAnsi" w:cstheme="majorHAnsi"/>
          <w:b/>
          <w:color w:val="595959"/>
          <w:sz w:val="24"/>
          <w:szCs w:val="24"/>
        </w:rPr>
        <w:tab/>
      </w:r>
      <w:r w:rsidR="00E11633" w:rsidRPr="00E11633">
        <w:rPr>
          <w:rFonts w:asciiTheme="majorHAnsi" w:eastAsia="Tahoma" w:hAnsiTheme="majorHAnsi" w:cstheme="majorHAnsi"/>
          <w:b/>
          <w:color w:val="595959"/>
          <w:sz w:val="24"/>
          <w:szCs w:val="24"/>
        </w:rPr>
        <w:t>EMPRESAS PÚBLICAS DE MEDELLÍN E.S.P</w:t>
      </w:r>
    </w:p>
    <w:p w14:paraId="675B5A3D" w14:textId="77777777" w:rsidR="00C32431" w:rsidRPr="00774462" w:rsidRDefault="00C32431" w:rsidP="00C32431">
      <w:pPr>
        <w:spacing w:line="0" w:lineRule="atLeast"/>
        <w:ind w:left="1418" w:hanging="1418"/>
        <w:jc w:val="both"/>
        <w:rPr>
          <w:rFonts w:asciiTheme="majorHAnsi" w:eastAsia="Tahoma" w:hAnsiTheme="majorHAnsi" w:cstheme="majorHAnsi"/>
          <w:b/>
          <w:color w:val="595959"/>
          <w:sz w:val="24"/>
          <w:szCs w:val="24"/>
        </w:rPr>
      </w:pPr>
      <w:r w:rsidRPr="00774462">
        <w:rPr>
          <w:rFonts w:asciiTheme="majorHAnsi" w:eastAsia="Tahoma" w:hAnsiTheme="majorHAnsi" w:cstheme="majorHAnsi"/>
          <w:b/>
          <w:color w:val="595959"/>
          <w:sz w:val="24"/>
          <w:szCs w:val="24"/>
        </w:rPr>
        <w:t xml:space="preserve">Asunto: </w:t>
      </w:r>
      <w:r w:rsidRPr="00774462">
        <w:rPr>
          <w:rFonts w:asciiTheme="majorHAnsi" w:eastAsia="Tahoma" w:hAnsiTheme="majorHAnsi" w:cstheme="majorHAnsi"/>
          <w:b/>
          <w:color w:val="595959"/>
          <w:sz w:val="24"/>
          <w:szCs w:val="24"/>
        </w:rPr>
        <w:tab/>
        <w:t>Actualización de los costos medios operativos como consecuencia de la variación en los costos operativos particulares de los servicios públicos domiciliarios de acueducto y alcantarillado, de conformidad con lo dispuesto en las Resoluciones CRA 688 de 2014, 735 de 2015 y 864 de 2018</w:t>
      </w:r>
    </w:p>
    <w:p w14:paraId="36A1C308" w14:textId="759BBC47" w:rsidR="00C32431" w:rsidRPr="00774462" w:rsidRDefault="00C32431" w:rsidP="00C32431">
      <w:pPr>
        <w:spacing w:line="0" w:lineRule="atLeast"/>
        <w:ind w:left="1418" w:hanging="1418"/>
        <w:jc w:val="both"/>
        <w:rPr>
          <w:rFonts w:asciiTheme="majorHAnsi" w:eastAsia="Tahoma" w:hAnsiTheme="majorHAnsi" w:cstheme="majorHAnsi"/>
          <w:b/>
          <w:color w:val="595959"/>
          <w:sz w:val="24"/>
          <w:szCs w:val="24"/>
        </w:rPr>
      </w:pPr>
      <w:r w:rsidRPr="00774462">
        <w:rPr>
          <w:rFonts w:asciiTheme="majorHAnsi" w:eastAsia="Tahoma" w:hAnsiTheme="majorHAnsi" w:cstheme="majorHAnsi"/>
          <w:b/>
          <w:color w:val="595959"/>
          <w:sz w:val="24"/>
          <w:szCs w:val="24"/>
        </w:rPr>
        <w:t>Fecha:</w:t>
      </w:r>
      <w:r w:rsidRPr="00774462">
        <w:rPr>
          <w:rFonts w:asciiTheme="majorHAnsi" w:eastAsia="Tahoma" w:hAnsiTheme="majorHAnsi" w:cstheme="majorHAnsi"/>
          <w:b/>
          <w:color w:val="595959"/>
          <w:sz w:val="24"/>
          <w:szCs w:val="24"/>
        </w:rPr>
        <w:tab/>
      </w:r>
      <w:r w:rsidR="00E11633">
        <w:rPr>
          <w:rFonts w:asciiTheme="majorHAnsi" w:eastAsia="Tahoma" w:hAnsiTheme="majorHAnsi" w:cstheme="majorHAnsi"/>
          <w:b/>
          <w:color w:val="595959"/>
          <w:sz w:val="24"/>
          <w:szCs w:val="24"/>
        </w:rPr>
        <w:t>23</w:t>
      </w:r>
      <w:r w:rsidRPr="00774462">
        <w:rPr>
          <w:rFonts w:asciiTheme="majorHAnsi" w:eastAsia="Tahoma" w:hAnsiTheme="majorHAnsi" w:cstheme="majorHAnsi"/>
          <w:b/>
          <w:color w:val="595959"/>
          <w:sz w:val="24"/>
          <w:szCs w:val="24"/>
        </w:rPr>
        <w:t xml:space="preserve"> de julio de 2020</w:t>
      </w:r>
    </w:p>
    <w:p w14:paraId="76C3E0D2" w14:textId="77777777" w:rsidR="00C32431" w:rsidRDefault="00C32431" w:rsidP="00C32431">
      <w:pPr>
        <w:spacing w:line="0" w:lineRule="atLeast"/>
        <w:rPr>
          <w:rFonts w:asciiTheme="majorHAnsi" w:eastAsia="Tahoma" w:hAnsiTheme="majorHAnsi" w:cstheme="majorHAnsi"/>
          <w:b/>
          <w:color w:val="595959"/>
          <w:sz w:val="36"/>
          <w:szCs w:val="36"/>
        </w:rPr>
      </w:pPr>
    </w:p>
    <w:p w14:paraId="5394CD1A" w14:textId="77777777" w:rsidR="00C32431" w:rsidRPr="009F36BA" w:rsidRDefault="00C32431" w:rsidP="00C32431">
      <w:pPr>
        <w:spacing w:line="0" w:lineRule="atLeast"/>
        <w:jc w:val="both"/>
        <w:rPr>
          <w:rFonts w:asciiTheme="majorHAnsi" w:eastAsia="Tahoma" w:hAnsiTheme="majorHAnsi" w:cstheme="majorHAnsi"/>
          <w:b/>
          <w:color w:val="595959"/>
          <w:sz w:val="36"/>
          <w:szCs w:val="36"/>
        </w:rPr>
      </w:pPr>
      <w:r>
        <w:rPr>
          <w:rFonts w:asciiTheme="majorHAnsi" w:hAnsiTheme="majorHAnsi" w:cstheme="majorHAnsi"/>
          <w:lang w:val="es-ES"/>
        </w:rPr>
        <w:t xml:space="preserve">De conformidad con lo establecido en el parágrafo 4 del artículo 35 de la Resolución CRA 688 de 2014, modificado por el artículo 11 de la Resolución CRA 864 de 2018, los prestadores de los servicios públicos domiciliarios de acueducto y alcantarillado debemos realizar un balance de los costos operativos unitarios particulares de energía eléctrica e insumos químicos al cierre de cada año tarifario, con el fin de establecer posibles variaciones superiores al 5% en cada uno de ellos: </w:t>
      </w:r>
    </w:p>
    <w:p w14:paraId="0E8D3F2E" w14:textId="77777777" w:rsidR="00C32431" w:rsidRPr="0081330A" w:rsidRDefault="00C32431" w:rsidP="00C32431">
      <w:pPr>
        <w:ind w:left="708"/>
        <w:jc w:val="both"/>
        <w:rPr>
          <w:rFonts w:asciiTheme="majorHAnsi" w:hAnsiTheme="majorHAnsi" w:cstheme="majorHAnsi"/>
          <w:i/>
          <w:iCs/>
          <w:lang w:val="es-ES"/>
        </w:rPr>
      </w:pPr>
      <w:r w:rsidRPr="0081330A">
        <w:rPr>
          <w:rFonts w:asciiTheme="majorHAnsi" w:hAnsiTheme="majorHAnsi" w:cstheme="majorHAnsi"/>
          <w:lang w:val="es-ES"/>
        </w:rPr>
        <w:t>"</w:t>
      </w:r>
      <w:r w:rsidRPr="00C7791D">
        <w:rPr>
          <w:rFonts w:asciiTheme="majorHAnsi" w:hAnsiTheme="majorHAnsi" w:cstheme="majorHAnsi"/>
          <w:b/>
          <w:bCs/>
          <w:i/>
          <w:iCs/>
          <w:lang w:val="es-ES"/>
        </w:rPr>
        <w:t>Parágrafo 4.</w:t>
      </w:r>
      <w:r w:rsidRPr="0081330A">
        <w:rPr>
          <w:rFonts w:asciiTheme="majorHAnsi" w:hAnsiTheme="majorHAnsi" w:cstheme="majorHAnsi"/>
          <w:i/>
          <w:iCs/>
          <w:lang w:val="es-ES"/>
        </w:rPr>
        <w:t xml:space="preserve"> 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ajustados por la persona prestadora.</w:t>
      </w:r>
    </w:p>
    <w:p w14:paraId="5BBD8E4B" w14:textId="77777777" w:rsidR="00C32431" w:rsidRDefault="00C32431" w:rsidP="00C32431">
      <w:pPr>
        <w:ind w:left="708"/>
        <w:jc w:val="both"/>
        <w:rPr>
          <w:rFonts w:asciiTheme="majorHAnsi" w:hAnsiTheme="majorHAnsi" w:cstheme="majorHAnsi"/>
          <w:lang w:val="es-ES"/>
        </w:rPr>
      </w:pPr>
      <w:r w:rsidRPr="0081330A">
        <w:rPr>
          <w:rFonts w:asciiTheme="majorHAnsi" w:hAnsiTheme="majorHAnsi" w:cstheme="majorHAnsi"/>
          <w:i/>
          <w:iCs/>
          <w:lang w:val="es-ES"/>
        </w:rPr>
        <w:t>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r w:rsidRPr="0081330A">
        <w:rPr>
          <w:rFonts w:asciiTheme="majorHAnsi" w:hAnsiTheme="majorHAnsi" w:cstheme="majorHAnsi"/>
          <w:lang w:val="es-ES"/>
        </w:rPr>
        <w:t>."</w:t>
      </w:r>
    </w:p>
    <w:p w14:paraId="1208B122" w14:textId="77777777" w:rsidR="00C32431" w:rsidRDefault="00C32431" w:rsidP="00C32431">
      <w:pPr>
        <w:jc w:val="both"/>
        <w:rPr>
          <w:rFonts w:asciiTheme="majorHAnsi" w:hAnsiTheme="majorHAnsi" w:cstheme="majorHAnsi"/>
          <w:lang w:val="es-ES"/>
        </w:rPr>
      </w:pPr>
      <w:r>
        <w:rPr>
          <w:rFonts w:asciiTheme="majorHAnsi" w:hAnsiTheme="majorHAnsi" w:cstheme="majorHAnsi"/>
          <w:lang w:val="es-ES"/>
        </w:rPr>
        <w:t xml:space="preserve">Así mismo, debemos hacer el respectivo balance para el costo unitario particular de tratamiento de aguas residuales, conforme a lo establecido en el parágrafo 4 del artículo 41 de la Resolución CRA 688 de 2014, modificado por el artículo 13 de la Resolución CRA 864 de 2018: </w:t>
      </w:r>
    </w:p>
    <w:p w14:paraId="72802FAD" w14:textId="77777777" w:rsidR="00C32431" w:rsidRPr="00C7791D" w:rsidRDefault="00C32431" w:rsidP="00C32431">
      <w:pPr>
        <w:ind w:left="708"/>
        <w:jc w:val="both"/>
        <w:rPr>
          <w:rFonts w:asciiTheme="majorHAnsi" w:hAnsiTheme="majorHAnsi" w:cstheme="majorHAnsi"/>
          <w:i/>
          <w:iCs/>
          <w:lang w:val="es-ES"/>
        </w:rPr>
      </w:pPr>
      <w:r>
        <w:rPr>
          <w:rFonts w:asciiTheme="majorHAnsi" w:hAnsiTheme="majorHAnsi" w:cstheme="majorHAnsi"/>
          <w:lang w:val="es-ES"/>
        </w:rPr>
        <w:t>“</w:t>
      </w:r>
      <w:r w:rsidRPr="00C7791D">
        <w:rPr>
          <w:rFonts w:asciiTheme="majorHAnsi" w:hAnsiTheme="majorHAnsi" w:cstheme="majorHAnsi"/>
          <w:b/>
          <w:bCs/>
          <w:i/>
          <w:iCs/>
          <w:lang w:val="es-ES"/>
        </w:rPr>
        <w:t>Parágrafo 4.</w:t>
      </w:r>
      <w:r w:rsidRPr="00C7791D">
        <w:rPr>
          <w:rFonts w:asciiTheme="majorHAnsi" w:hAnsiTheme="majorHAnsi" w:cstheme="majorHAnsi"/>
          <w:i/>
          <w:iCs/>
          <w:lang w:val="es-ES"/>
        </w:rPr>
        <w:t xml:space="preserve"> Cada vez que, en un periodo de doce (12) meses continuos correspondiente al año tarifario i, se acumule un aumento o disminución de mínimo 5%, en pesos constantes, en el costo de tratamiento de aguas residuales - CTR, éste deberá ser ajustado por la persona prestadora.</w:t>
      </w:r>
    </w:p>
    <w:p w14:paraId="3AB2073E" w14:textId="77777777" w:rsidR="00C32431" w:rsidRDefault="00C32431" w:rsidP="00C32431">
      <w:pPr>
        <w:ind w:left="708"/>
        <w:jc w:val="both"/>
        <w:rPr>
          <w:rFonts w:asciiTheme="majorHAnsi" w:hAnsiTheme="majorHAnsi" w:cstheme="majorHAnsi"/>
          <w:lang w:val="es-ES"/>
        </w:rPr>
      </w:pPr>
      <w:r w:rsidRPr="00C7791D">
        <w:rPr>
          <w:rFonts w:asciiTheme="majorHAnsi" w:hAnsiTheme="majorHAnsi" w:cstheme="majorHAnsi"/>
          <w:i/>
          <w:iCs/>
          <w:lang w:val="es-ES"/>
        </w:rPr>
        <w:lastRenderedPageBreak/>
        <w:t>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r w:rsidRPr="00C7791D">
        <w:rPr>
          <w:rFonts w:asciiTheme="majorHAnsi" w:hAnsiTheme="majorHAnsi" w:cstheme="majorHAnsi"/>
          <w:lang w:val="es-ES"/>
        </w:rPr>
        <w:t>.</w:t>
      </w:r>
      <w:r>
        <w:rPr>
          <w:rFonts w:asciiTheme="majorHAnsi" w:hAnsiTheme="majorHAnsi" w:cstheme="majorHAnsi"/>
          <w:lang w:val="es-ES"/>
        </w:rPr>
        <w:t>”</w:t>
      </w:r>
    </w:p>
    <w:p w14:paraId="5ACCB80E" w14:textId="77777777" w:rsidR="00C32431" w:rsidRDefault="00C32431" w:rsidP="00C32431">
      <w:pPr>
        <w:jc w:val="both"/>
        <w:rPr>
          <w:rFonts w:asciiTheme="majorHAnsi" w:hAnsiTheme="majorHAnsi" w:cstheme="majorHAnsi"/>
          <w:lang w:val="es-ES"/>
        </w:rPr>
      </w:pPr>
    </w:p>
    <w:p w14:paraId="7ABDC574" w14:textId="77777777" w:rsidR="00C32431" w:rsidRDefault="00C32431" w:rsidP="00C32431">
      <w:pPr>
        <w:jc w:val="both"/>
        <w:rPr>
          <w:rFonts w:asciiTheme="majorHAnsi" w:hAnsiTheme="majorHAnsi" w:cstheme="majorHAnsi"/>
          <w:lang w:val="es-ES"/>
        </w:rPr>
      </w:pPr>
      <w:r>
        <w:rPr>
          <w:rFonts w:asciiTheme="majorHAnsi" w:hAnsiTheme="majorHAnsi" w:cstheme="majorHAnsi"/>
          <w:lang w:val="es-ES"/>
        </w:rPr>
        <w:t>Desde</w:t>
      </w:r>
      <w:r w:rsidRPr="007371C3">
        <w:rPr>
          <w:rFonts w:asciiTheme="majorHAnsi" w:hAnsiTheme="majorHAnsi" w:cstheme="majorHAnsi"/>
          <w:lang w:val="es-ES"/>
        </w:rPr>
        <w:t xml:space="preserve"> </w:t>
      </w:r>
      <w:r>
        <w:rPr>
          <w:rFonts w:asciiTheme="majorHAnsi" w:hAnsiTheme="majorHAnsi" w:cstheme="majorHAnsi"/>
          <w:lang w:val="es-ES"/>
        </w:rPr>
        <w:t>la aplicación de la metodología tarifaria definida en la Resolución CRA 688 de 2014</w:t>
      </w:r>
      <w:r w:rsidRPr="007371C3">
        <w:rPr>
          <w:rFonts w:asciiTheme="majorHAnsi" w:hAnsiTheme="majorHAnsi" w:cstheme="majorHAnsi"/>
          <w:lang w:val="es-ES"/>
        </w:rPr>
        <w:t>, se han elevado diferentes consultas a la</w:t>
      </w:r>
      <w:r>
        <w:rPr>
          <w:rFonts w:asciiTheme="majorHAnsi" w:hAnsiTheme="majorHAnsi" w:cstheme="majorHAnsi"/>
          <w:lang w:val="es-ES"/>
        </w:rPr>
        <w:t xml:space="preserve"> Comisión de Regulación de Agua Potable y Saneamiento Básico -CRA,</w:t>
      </w:r>
      <w:r w:rsidRPr="007371C3">
        <w:rPr>
          <w:rFonts w:asciiTheme="majorHAnsi" w:hAnsiTheme="majorHAnsi" w:cstheme="majorHAnsi"/>
          <w:lang w:val="es-ES"/>
        </w:rPr>
        <w:t xml:space="preserve"> relacionadas con la aplicación de las variaciones anuales de estos costos particulares</w:t>
      </w:r>
      <w:r>
        <w:rPr>
          <w:rFonts w:asciiTheme="majorHAnsi" w:hAnsiTheme="majorHAnsi" w:cstheme="majorHAnsi"/>
          <w:lang w:val="es-ES"/>
        </w:rPr>
        <w:t>. C</w:t>
      </w:r>
      <w:r w:rsidRPr="007371C3">
        <w:rPr>
          <w:rFonts w:asciiTheme="majorHAnsi" w:hAnsiTheme="majorHAnsi" w:cstheme="majorHAnsi"/>
          <w:lang w:val="es-ES"/>
        </w:rPr>
        <w:t>on base en las aclaraciones dadas por la C</w:t>
      </w:r>
      <w:r>
        <w:rPr>
          <w:rFonts w:asciiTheme="majorHAnsi" w:hAnsiTheme="majorHAnsi" w:cstheme="majorHAnsi"/>
          <w:lang w:val="es-ES"/>
        </w:rPr>
        <w:t>omisión</w:t>
      </w:r>
      <w:r w:rsidRPr="007371C3">
        <w:rPr>
          <w:rFonts w:asciiTheme="majorHAnsi" w:hAnsiTheme="majorHAnsi" w:cstheme="majorHAnsi"/>
          <w:lang w:val="es-ES"/>
        </w:rPr>
        <w:t xml:space="preserve"> mediante radicado CRA 20200300060841 de abril 27 de 2020, se realizaron los análisis de los costos operativos unitarios particulares correspondientes al tercer año tarifario, el cual finalizó en junio 30 de 2019.</w:t>
      </w:r>
    </w:p>
    <w:p w14:paraId="5D4CE135" w14:textId="77777777" w:rsidR="00C32431" w:rsidRDefault="00C32431" w:rsidP="00C32431">
      <w:pPr>
        <w:jc w:val="both"/>
        <w:rPr>
          <w:rFonts w:asciiTheme="majorHAnsi" w:hAnsiTheme="majorHAnsi" w:cstheme="majorHAnsi"/>
          <w:lang w:val="es-ES"/>
        </w:rPr>
      </w:pPr>
      <w:r>
        <w:rPr>
          <w:rFonts w:asciiTheme="majorHAnsi" w:hAnsiTheme="majorHAnsi" w:cstheme="majorHAnsi"/>
          <w:lang w:val="es-ES"/>
        </w:rPr>
        <w:t xml:space="preserve">Por otra parte, de acuerdo con lo establecido en el artículo 2 de la Resolución CRA 911 de 2020, la Comisión suspendió temporalmente los incrementos tarifarios de los servicios públicos domiciliarios de acueducto y alcantarillado derivados de varios criterios, entre ellos la aplicación de lo dispuesto en los capítulos I y II del Título III de la Resolución CRA 864 de 2018. Ahora bien, mediante comunicación con </w:t>
      </w:r>
      <w:r w:rsidRPr="001F1B61">
        <w:rPr>
          <w:rFonts w:asciiTheme="majorHAnsi" w:hAnsiTheme="majorHAnsi" w:cstheme="majorHAnsi"/>
          <w:lang w:val="es-ES"/>
        </w:rPr>
        <w:t>radicado CRA 20200300064921 del 06 de mayo de 2020</w:t>
      </w:r>
      <w:r>
        <w:rPr>
          <w:rFonts w:asciiTheme="majorHAnsi" w:hAnsiTheme="majorHAnsi" w:cstheme="majorHAnsi"/>
          <w:lang w:val="es-ES"/>
        </w:rPr>
        <w:t>, la Comisión aclaró que “</w:t>
      </w:r>
      <w:r w:rsidRPr="001F1B61">
        <w:rPr>
          <w:rFonts w:asciiTheme="majorHAnsi" w:hAnsiTheme="majorHAnsi" w:cstheme="majorHAnsi"/>
          <w:i/>
          <w:iCs/>
          <w:lang w:val="es-ES"/>
        </w:rPr>
        <w:t>lo dispuesto en el artículo 2 de la Resolución CRA 911 de 2020 sólo es aplicable para los incrementos tarifarios, en el evento en que producto de los criterios mencionados en el artículo ibidem se presente una variación negativa, la persona prestadora deberá dar aplicación a dicha variación</w:t>
      </w:r>
      <w:r w:rsidRPr="001F1B61">
        <w:rPr>
          <w:rFonts w:asciiTheme="majorHAnsi" w:hAnsiTheme="majorHAnsi" w:cstheme="majorHAnsi"/>
          <w:lang w:val="es-ES"/>
        </w:rPr>
        <w:t>”</w:t>
      </w:r>
      <w:r>
        <w:rPr>
          <w:rFonts w:asciiTheme="majorHAnsi" w:hAnsiTheme="majorHAnsi" w:cstheme="majorHAnsi"/>
          <w:lang w:val="es-ES"/>
        </w:rPr>
        <w:t>.</w:t>
      </w:r>
    </w:p>
    <w:p w14:paraId="6968A803" w14:textId="77777777" w:rsidR="00C32431" w:rsidRDefault="00C32431" w:rsidP="00C32431">
      <w:pPr>
        <w:jc w:val="both"/>
        <w:rPr>
          <w:rFonts w:asciiTheme="majorHAnsi" w:hAnsiTheme="majorHAnsi" w:cstheme="majorHAnsi"/>
          <w:lang w:val="es-ES"/>
        </w:rPr>
      </w:pPr>
      <w:r>
        <w:rPr>
          <w:rFonts w:asciiTheme="majorHAnsi" w:hAnsiTheme="majorHAnsi" w:cstheme="majorHAnsi"/>
          <w:lang w:val="es-ES"/>
        </w:rPr>
        <w:t>Teniendo en cuenta lo anterior, realizamos los respectivos balances para cada uno de los costos operativos unitarios particulares a los que hacen referencia los artículos 11 y 13 de la Resolución ibidem, y solo aplicamos en la presenta actualización del Costo Medio Operativo de acueducto y/o alcantarillado (</w:t>
      </w:r>
      <w:proofErr w:type="spellStart"/>
      <w:r>
        <w:rPr>
          <w:rFonts w:asciiTheme="majorHAnsi" w:hAnsiTheme="majorHAnsi" w:cstheme="majorHAnsi"/>
          <w:lang w:val="es-ES"/>
        </w:rPr>
        <w:t>CMO</w:t>
      </w:r>
      <w:r w:rsidRPr="001F1B61">
        <w:rPr>
          <w:rFonts w:asciiTheme="majorHAnsi" w:hAnsiTheme="majorHAnsi" w:cstheme="majorHAnsi"/>
          <w:vertAlign w:val="subscript"/>
          <w:lang w:val="es-ES"/>
        </w:rPr>
        <w:t>ac</w:t>
      </w:r>
      <w:proofErr w:type="spellEnd"/>
      <w:r w:rsidRPr="001F1B61">
        <w:rPr>
          <w:rFonts w:asciiTheme="majorHAnsi" w:hAnsiTheme="majorHAnsi" w:cstheme="majorHAnsi"/>
          <w:vertAlign w:val="subscript"/>
          <w:lang w:val="es-ES"/>
        </w:rPr>
        <w:t>/al</w:t>
      </w:r>
      <w:r>
        <w:rPr>
          <w:rFonts w:asciiTheme="majorHAnsi" w:hAnsiTheme="majorHAnsi" w:cstheme="majorHAnsi"/>
          <w:lang w:val="es-ES"/>
        </w:rPr>
        <w:t>)</w:t>
      </w:r>
      <w:r>
        <w:rPr>
          <w:rFonts w:asciiTheme="majorHAnsi" w:hAnsiTheme="majorHAnsi" w:cstheme="majorHAnsi"/>
          <w:vertAlign w:val="subscript"/>
          <w:lang w:val="es-ES"/>
        </w:rPr>
        <w:t>,</w:t>
      </w:r>
      <w:r>
        <w:rPr>
          <w:rFonts w:asciiTheme="majorHAnsi" w:hAnsiTheme="majorHAnsi" w:cstheme="majorHAnsi"/>
          <w:lang w:val="es-ES"/>
        </w:rPr>
        <w:t xml:space="preserve"> las variaciones negativas superiores al 5%, es decir, aquellas que generan disminuciones en las tarifas máximas aprobadas por la entidad tarifaria local. </w:t>
      </w:r>
    </w:p>
    <w:p w14:paraId="2E433D45" w14:textId="0F7C8A31" w:rsidR="00A00E6A" w:rsidRDefault="00C32431" w:rsidP="00C32431">
      <w:pPr>
        <w:jc w:val="both"/>
        <w:rPr>
          <w:rFonts w:asciiTheme="majorHAnsi" w:hAnsiTheme="majorHAnsi" w:cstheme="majorHAnsi"/>
          <w:lang w:val="es-ES"/>
        </w:rPr>
      </w:pPr>
      <w:r>
        <w:rPr>
          <w:rFonts w:asciiTheme="majorHAnsi" w:hAnsiTheme="majorHAnsi" w:cstheme="majorHAnsi"/>
          <w:lang w:val="es-ES"/>
        </w:rPr>
        <w:t xml:space="preserve">Derivado de esta </w:t>
      </w:r>
      <w:r w:rsidRPr="00A00E6A">
        <w:rPr>
          <w:rFonts w:asciiTheme="majorHAnsi" w:hAnsiTheme="majorHAnsi" w:cstheme="majorHAnsi"/>
          <w:lang w:val="es-ES"/>
        </w:rPr>
        <w:t xml:space="preserve">actualización, las nuevas tarifas </w:t>
      </w:r>
      <w:r w:rsidR="00A00E6A">
        <w:rPr>
          <w:rFonts w:asciiTheme="majorHAnsi" w:hAnsiTheme="majorHAnsi" w:cstheme="majorHAnsi"/>
          <w:lang w:val="es-ES"/>
        </w:rPr>
        <w:t>máximas en las diferentes áreas de prestación de EPM, aprobadas por Decreto de Gerencia General</w:t>
      </w:r>
      <w:r w:rsidR="00F9562D">
        <w:rPr>
          <w:rFonts w:asciiTheme="majorHAnsi" w:hAnsiTheme="majorHAnsi" w:cstheme="majorHAnsi"/>
          <w:lang w:val="es-ES"/>
        </w:rPr>
        <w:t xml:space="preserve"> 2020 – DECGGL – 2317 de julio 24, </w:t>
      </w:r>
      <w:r>
        <w:rPr>
          <w:rFonts w:asciiTheme="majorHAnsi" w:hAnsiTheme="majorHAnsi" w:cstheme="majorHAnsi"/>
          <w:lang w:val="es-ES"/>
        </w:rPr>
        <w:t>son las siguientes:</w:t>
      </w:r>
    </w:p>
    <w:p w14:paraId="0FFEAE5C" w14:textId="3873A8B5" w:rsidR="00A00E6A" w:rsidRDefault="00A00E6A" w:rsidP="00C32431">
      <w:pPr>
        <w:jc w:val="both"/>
        <w:rPr>
          <w:rFonts w:asciiTheme="majorHAnsi" w:hAnsiTheme="majorHAnsi" w:cstheme="majorHAnsi"/>
          <w:lang w:val="es-ES"/>
        </w:rPr>
      </w:pPr>
    </w:p>
    <w:p w14:paraId="481C04D1" w14:textId="75F19054" w:rsidR="00A00E6A" w:rsidRDefault="00A00E6A" w:rsidP="00C32431">
      <w:pPr>
        <w:jc w:val="both"/>
        <w:rPr>
          <w:rFonts w:asciiTheme="majorHAnsi" w:hAnsiTheme="majorHAnsi" w:cstheme="majorHAnsi"/>
          <w:lang w:val="es-ES"/>
        </w:rPr>
      </w:pPr>
    </w:p>
    <w:p w14:paraId="4F3ACE84" w14:textId="1E117C4A" w:rsidR="00A00E6A" w:rsidRDefault="00A00E6A" w:rsidP="00C32431">
      <w:pPr>
        <w:jc w:val="both"/>
        <w:rPr>
          <w:rFonts w:asciiTheme="majorHAnsi" w:hAnsiTheme="majorHAnsi" w:cstheme="majorHAnsi"/>
          <w:lang w:val="es-ES"/>
        </w:rPr>
      </w:pPr>
    </w:p>
    <w:p w14:paraId="1FD9F0A9" w14:textId="06F24BB4" w:rsidR="00A00E6A" w:rsidRDefault="00A00E6A" w:rsidP="00C32431">
      <w:pPr>
        <w:jc w:val="both"/>
        <w:rPr>
          <w:rFonts w:asciiTheme="majorHAnsi" w:hAnsiTheme="majorHAnsi" w:cstheme="majorHAnsi"/>
          <w:lang w:val="es-ES"/>
        </w:rPr>
      </w:pPr>
    </w:p>
    <w:p w14:paraId="184EF6BC" w14:textId="285C4292" w:rsidR="00A00E6A" w:rsidRDefault="00A00E6A" w:rsidP="00C32431">
      <w:pPr>
        <w:jc w:val="both"/>
        <w:rPr>
          <w:rFonts w:asciiTheme="majorHAnsi" w:hAnsiTheme="majorHAnsi" w:cstheme="majorHAnsi"/>
          <w:lang w:val="es-ES"/>
        </w:rPr>
      </w:pPr>
    </w:p>
    <w:p w14:paraId="76729E52" w14:textId="2630B457" w:rsidR="00A00E6A" w:rsidRDefault="00A00E6A" w:rsidP="00C32431">
      <w:pPr>
        <w:jc w:val="both"/>
        <w:rPr>
          <w:rFonts w:asciiTheme="majorHAnsi" w:hAnsiTheme="majorHAnsi" w:cstheme="majorHAnsi"/>
          <w:lang w:val="es-ES"/>
        </w:rPr>
      </w:pPr>
    </w:p>
    <w:p w14:paraId="35832D85" w14:textId="04761ED6" w:rsidR="00A00E6A" w:rsidRDefault="00A00E6A" w:rsidP="00C32431">
      <w:pPr>
        <w:jc w:val="both"/>
        <w:rPr>
          <w:rFonts w:asciiTheme="majorHAnsi" w:hAnsiTheme="majorHAnsi" w:cstheme="majorHAnsi"/>
          <w:lang w:val="es-ES"/>
        </w:rPr>
      </w:pPr>
    </w:p>
    <w:p w14:paraId="4289B136" w14:textId="37604AAC" w:rsidR="00A00E6A" w:rsidRDefault="00A00E6A" w:rsidP="00C32431">
      <w:pPr>
        <w:jc w:val="both"/>
        <w:rPr>
          <w:rFonts w:asciiTheme="majorHAnsi" w:hAnsiTheme="majorHAnsi" w:cstheme="majorHAnsi"/>
          <w:lang w:val="es-ES"/>
        </w:rPr>
      </w:pPr>
    </w:p>
    <w:p w14:paraId="041D6B1A" w14:textId="77777777" w:rsidR="00A00E6A" w:rsidRDefault="00A00E6A" w:rsidP="00C32431">
      <w:pPr>
        <w:jc w:val="both"/>
        <w:rPr>
          <w:rFonts w:asciiTheme="majorHAnsi" w:hAnsiTheme="majorHAnsi" w:cstheme="majorHAnsi"/>
          <w:lang w:val="es-ES"/>
        </w:rPr>
      </w:pPr>
    </w:p>
    <w:tbl>
      <w:tblPr>
        <w:tblW w:w="8458" w:type="dxa"/>
        <w:jc w:val="center"/>
        <w:tblCellMar>
          <w:left w:w="70" w:type="dxa"/>
          <w:right w:w="70" w:type="dxa"/>
        </w:tblCellMar>
        <w:tblLook w:val="04A0" w:firstRow="1" w:lastRow="0" w:firstColumn="1" w:lastColumn="0" w:noHBand="0" w:noVBand="1"/>
      </w:tblPr>
      <w:tblGrid>
        <w:gridCol w:w="2046"/>
        <w:gridCol w:w="1372"/>
        <w:gridCol w:w="960"/>
        <w:gridCol w:w="960"/>
        <w:gridCol w:w="1372"/>
        <w:gridCol w:w="788"/>
        <w:gridCol w:w="960"/>
      </w:tblGrid>
      <w:tr w:rsidR="006D27E5" w:rsidRPr="0086308E" w14:paraId="1D1505BF" w14:textId="77777777" w:rsidTr="006D27E5">
        <w:trPr>
          <w:trHeight w:val="219"/>
          <w:jc w:val="center"/>
        </w:trPr>
        <w:tc>
          <w:tcPr>
            <w:tcW w:w="0" w:type="auto"/>
            <w:tcBorders>
              <w:top w:val="nil"/>
              <w:left w:val="nil"/>
              <w:bottom w:val="nil"/>
              <w:right w:val="nil"/>
            </w:tcBorders>
            <w:shd w:val="clear" w:color="auto" w:fill="auto"/>
            <w:noWrap/>
            <w:vAlign w:val="bottom"/>
            <w:hideMark/>
          </w:tcPr>
          <w:p w14:paraId="7798C485" w14:textId="77777777" w:rsidR="00A00E6A" w:rsidRPr="00A40661" w:rsidRDefault="00A00E6A" w:rsidP="00663DCE">
            <w:pPr>
              <w:spacing w:line="271" w:lineRule="auto"/>
              <w:rPr>
                <w:rFonts w:ascii="Arial Narrow" w:hAnsi="Arial Narrow" w:cs="Arial"/>
                <w:lang w:eastAsia="es-CO"/>
              </w:rPr>
            </w:pPr>
          </w:p>
        </w:tc>
        <w:tc>
          <w:tcPr>
            <w:tcW w:w="0" w:type="auto"/>
            <w:gridSpan w:val="3"/>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3AB80FB6" w14:textId="77777777" w:rsidR="00A00E6A" w:rsidRPr="00A40661" w:rsidRDefault="00A00E6A" w:rsidP="00663DCE">
            <w:pPr>
              <w:spacing w:line="271" w:lineRule="auto"/>
              <w:jc w:val="center"/>
              <w:rPr>
                <w:rFonts w:ascii="Arial Narrow" w:hAnsi="Arial Narrow" w:cs="Arial"/>
                <w:b/>
                <w:bCs/>
                <w:color w:val="000000"/>
                <w:lang w:eastAsia="es-CO"/>
              </w:rPr>
            </w:pPr>
            <w:r w:rsidRPr="00A40661">
              <w:rPr>
                <w:rFonts w:ascii="Arial Narrow" w:hAnsi="Arial Narrow" w:cs="Arial"/>
                <w:b/>
                <w:bCs/>
                <w:color w:val="000000"/>
                <w:lang w:eastAsia="es-CO"/>
              </w:rPr>
              <w:t>ACUEDUCTO</w:t>
            </w:r>
          </w:p>
        </w:tc>
        <w:tc>
          <w:tcPr>
            <w:tcW w:w="0" w:type="auto"/>
            <w:gridSpan w:val="3"/>
            <w:tcBorders>
              <w:top w:val="single" w:sz="8" w:space="0" w:color="A6A6A6"/>
              <w:left w:val="nil"/>
              <w:bottom w:val="single" w:sz="8" w:space="0" w:color="A6A6A6"/>
              <w:right w:val="single" w:sz="8" w:space="0" w:color="A6A6A6"/>
            </w:tcBorders>
            <w:shd w:val="clear" w:color="000000" w:fill="F2F2F2"/>
            <w:noWrap/>
            <w:vAlign w:val="center"/>
            <w:hideMark/>
          </w:tcPr>
          <w:p w14:paraId="423F9A73" w14:textId="77777777" w:rsidR="00A00E6A" w:rsidRPr="00A40661" w:rsidRDefault="00A00E6A" w:rsidP="00663DCE">
            <w:pPr>
              <w:spacing w:line="271" w:lineRule="auto"/>
              <w:jc w:val="center"/>
              <w:rPr>
                <w:rFonts w:ascii="Arial Narrow" w:hAnsi="Arial Narrow" w:cs="Arial"/>
                <w:b/>
                <w:bCs/>
                <w:color w:val="000000"/>
                <w:lang w:eastAsia="es-CO"/>
              </w:rPr>
            </w:pPr>
            <w:r w:rsidRPr="00A40661">
              <w:rPr>
                <w:rFonts w:ascii="Arial Narrow" w:hAnsi="Arial Narrow" w:cs="Arial"/>
                <w:b/>
                <w:bCs/>
                <w:color w:val="000000"/>
                <w:lang w:eastAsia="es-CO"/>
              </w:rPr>
              <w:t>ALCANTARILLADO</w:t>
            </w:r>
          </w:p>
        </w:tc>
      </w:tr>
      <w:tr w:rsidR="006D27E5" w:rsidRPr="0086308E" w14:paraId="5D8D6DEB" w14:textId="77777777" w:rsidTr="006D27E5">
        <w:trPr>
          <w:trHeight w:val="67"/>
          <w:jc w:val="center"/>
        </w:trPr>
        <w:tc>
          <w:tcPr>
            <w:tcW w:w="0" w:type="auto"/>
            <w:vMerge w:val="restart"/>
            <w:tcBorders>
              <w:top w:val="single" w:sz="8" w:space="0" w:color="A6A6A6"/>
              <w:left w:val="single" w:sz="8" w:space="0" w:color="A6A6A6"/>
              <w:bottom w:val="nil"/>
              <w:right w:val="single" w:sz="8" w:space="0" w:color="A6A6A6"/>
            </w:tcBorders>
            <w:shd w:val="clear" w:color="000000" w:fill="F2F2F2"/>
            <w:vAlign w:val="center"/>
            <w:hideMark/>
          </w:tcPr>
          <w:p w14:paraId="4A8A2D4E" w14:textId="77777777" w:rsidR="00A00E6A" w:rsidRPr="00A40661" w:rsidRDefault="00A00E6A" w:rsidP="00663DCE">
            <w:pPr>
              <w:spacing w:line="271" w:lineRule="auto"/>
              <w:jc w:val="center"/>
              <w:rPr>
                <w:rFonts w:ascii="Arial Narrow" w:hAnsi="Arial Narrow" w:cs="Arial"/>
                <w:b/>
                <w:bCs/>
                <w:color w:val="000000"/>
                <w:lang w:eastAsia="es-CO"/>
              </w:rPr>
            </w:pPr>
            <w:r w:rsidRPr="00A40661">
              <w:rPr>
                <w:rFonts w:ascii="Arial Narrow" w:hAnsi="Arial Narrow" w:cs="Arial"/>
                <w:b/>
                <w:bCs/>
                <w:color w:val="000000"/>
                <w:lang w:eastAsia="es-CO"/>
              </w:rPr>
              <w:t>Cargo tarifario</w:t>
            </w:r>
          </w:p>
        </w:tc>
        <w:tc>
          <w:tcPr>
            <w:tcW w:w="0" w:type="auto"/>
            <w:tcBorders>
              <w:top w:val="nil"/>
              <w:left w:val="nil"/>
              <w:bottom w:val="single" w:sz="4" w:space="0" w:color="A6A6A6"/>
              <w:right w:val="single" w:sz="8" w:space="0" w:color="A6A6A6"/>
            </w:tcBorders>
            <w:shd w:val="clear" w:color="000000" w:fill="F2F2F2"/>
            <w:vAlign w:val="center"/>
            <w:hideMark/>
          </w:tcPr>
          <w:p w14:paraId="31F8D6AA"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 xml:space="preserve">CMA </w:t>
            </w:r>
          </w:p>
        </w:tc>
        <w:tc>
          <w:tcPr>
            <w:tcW w:w="0" w:type="auto"/>
            <w:tcBorders>
              <w:top w:val="nil"/>
              <w:left w:val="nil"/>
              <w:bottom w:val="single" w:sz="4" w:space="0" w:color="A6A6A6"/>
              <w:right w:val="single" w:sz="8" w:space="0" w:color="A6A6A6"/>
            </w:tcBorders>
            <w:shd w:val="clear" w:color="000000" w:fill="F2F2F2"/>
            <w:vAlign w:val="center"/>
            <w:hideMark/>
          </w:tcPr>
          <w:p w14:paraId="324FFC9E"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CMO</w:t>
            </w:r>
          </w:p>
        </w:tc>
        <w:tc>
          <w:tcPr>
            <w:tcW w:w="0" w:type="auto"/>
            <w:tcBorders>
              <w:top w:val="nil"/>
              <w:left w:val="nil"/>
              <w:bottom w:val="single" w:sz="4" w:space="0" w:color="A6A6A6"/>
              <w:right w:val="single" w:sz="8" w:space="0" w:color="A6A6A6"/>
            </w:tcBorders>
            <w:shd w:val="clear" w:color="000000" w:fill="F2F2F2"/>
            <w:vAlign w:val="center"/>
            <w:hideMark/>
          </w:tcPr>
          <w:p w14:paraId="419B1077"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 xml:space="preserve">CMI </w:t>
            </w:r>
          </w:p>
        </w:tc>
        <w:tc>
          <w:tcPr>
            <w:tcW w:w="0" w:type="auto"/>
            <w:tcBorders>
              <w:top w:val="nil"/>
              <w:left w:val="nil"/>
              <w:bottom w:val="single" w:sz="4" w:space="0" w:color="A6A6A6"/>
              <w:right w:val="single" w:sz="8" w:space="0" w:color="A6A6A6"/>
            </w:tcBorders>
            <w:shd w:val="clear" w:color="000000" w:fill="F2F2F2"/>
            <w:vAlign w:val="center"/>
            <w:hideMark/>
          </w:tcPr>
          <w:p w14:paraId="74D3819D"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 xml:space="preserve">CMA </w:t>
            </w:r>
          </w:p>
        </w:tc>
        <w:tc>
          <w:tcPr>
            <w:tcW w:w="0" w:type="auto"/>
            <w:tcBorders>
              <w:top w:val="nil"/>
              <w:left w:val="nil"/>
              <w:bottom w:val="single" w:sz="4" w:space="0" w:color="A6A6A6"/>
              <w:right w:val="single" w:sz="4" w:space="0" w:color="A6A6A6"/>
            </w:tcBorders>
            <w:shd w:val="clear" w:color="000000" w:fill="F2F2F2"/>
            <w:vAlign w:val="center"/>
            <w:hideMark/>
          </w:tcPr>
          <w:p w14:paraId="712062D0"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CMO</w:t>
            </w:r>
          </w:p>
        </w:tc>
        <w:tc>
          <w:tcPr>
            <w:tcW w:w="0" w:type="auto"/>
            <w:tcBorders>
              <w:top w:val="nil"/>
              <w:left w:val="nil"/>
              <w:bottom w:val="single" w:sz="4" w:space="0" w:color="A6A6A6"/>
              <w:right w:val="single" w:sz="8" w:space="0" w:color="A6A6A6"/>
            </w:tcBorders>
            <w:shd w:val="clear" w:color="000000" w:fill="F2F2F2"/>
            <w:vAlign w:val="center"/>
            <w:hideMark/>
          </w:tcPr>
          <w:p w14:paraId="027BAC4B"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 xml:space="preserve">CMI </w:t>
            </w:r>
          </w:p>
        </w:tc>
      </w:tr>
      <w:tr w:rsidR="00A00E6A" w:rsidRPr="0086308E" w14:paraId="6ABA08F4" w14:textId="77777777" w:rsidTr="006D27E5">
        <w:trPr>
          <w:trHeight w:val="278"/>
          <w:jc w:val="center"/>
        </w:trPr>
        <w:tc>
          <w:tcPr>
            <w:tcW w:w="0" w:type="auto"/>
            <w:vMerge/>
            <w:tcBorders>
              <w:top w:val="single" w:sz="8" w:space="0" w:color="A6A6A6"/>
              <w:left w:val="single" w:sz="8" w:space="0" w:color="A6A6A6"/>
              <w:bottom w:val="nil"/>
              <w:right w:val="single" w:sz="8" w:space="0" w:color="A6A6A6"/>
            </w:tcBorders>
            <w:vAlign w:val="center"/>
            <w:hideMark/>
          </w:tcPr>
          <w:p w14:paraId="15BEC4D1" w14:textId="77777777" w:rsidR="00A00E6A" w:rsidRPr="00A40661" w:rsidRDefault="00A00E6A" w:rsidP="00663DCE">
            <w:pPr>
              <w:spacing w:line="271" w:lineRule="auto"/>
              <w:rPr>
                <w:rFonts w:ascii="Arial Narrow" w:hAnsi="Arial Narrow" w:cs="Arial"/>
                <w:b/>
                <w:bCs/>
                <w:color w:val="000000"/>
                <w:lang w:eastAsia="es-CO"/>
              </w:rPr>
            </w:pPr>
          </w:p>
        </w:tc>
        <w:tc>
          <w:tcPr>
            <w:tcW w:w="0" w:type="auto"/>
            <w:tcBorders>
              <w:top w:val="nil"/>
              <w:left w:val="nil"/>
              <w:bottom w:val="single" w:sz="8" w:space="0" w:color="A6A6A6"/>
              <w:right w:val="single" w:sz="8" w:space="0" w:color="A6A6A6"/>
            </w:tcBorders>
            <w:shd w:val="clear" w:color="000000" w:fill="F2F2F2"/>
            <w:vAlign w:val="center"/>
            <w:hideMark/>
          </w:tcPr>
          <w:p w14:paraId="52913461"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$/usuario-mes</w:t>
            </w:r>
          </w:p>
        </w:tc>
        <w:tc>
          <w:tcPr>
            <w:tcW w:w="0" w:type="auto"/>
            <w:tcBorders>
              <w:top w:val="nil"/>
              <w:left w:val="nil"/>
              <w:bottom w:val="single" w:sz="8" w:space="0" w:color="A6A6A6"/>
              <w:right w:val="single" w:sz="8" w:space="0" w:color="A6A6A6"/>
            </w:tcBorders>
            <w:shd w:val="clear" w:color="000000" w:fill="F2F2F2"/>
            <w:vAlign w:val="center"/>
            <w:hideMark/>
          </w:tcPr>
          <w:p w14:paraId="27935EC2"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$/m</w:t>
            </w:r>
            <w:r w:rsidRPr="008530E8">
              <w:rPr>
                <w:rFonts w:ascii="Arial Narrow" w:hAnsi="Arial Narrow" w:cs="Arial"/>
                <w:b/>
                <w:bCs/>
                <w:color w:val="000000"/>
                <w:vertAlign w:val="superscript"/>
                <w:lang w:eastAsia="es-CO"/>
              </w:rPr>
              <w:t>3</w:t>
            </w:r>
          </w:p>
        </w:tc>
        <w:tc>
          <w:tcPr>
            <w:tcW w:w="0" w:type="auto"/>
            <w:tcBorders>
              <w:top w:val="nil"/>
              <w:left w:val="nil"/>
              <w:bottom w:val="single" w:sz="8" w:space="0" w:color="A6A6A6"/>
              <w:right w:val="single" w:sz="8" w:space="0" w:color="A6A6A6"/>
            </w:tcBorders>
            <w:shd w:val="clear" w:color="000000" w:fill="F2F2F2"/>
            <w:vAlign w:val="center"/>
            <w:hideMark/>
          </w:tcPr>
          <w:p w14:paraId="5BA6F312"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$/m</w:t>
            </w:r>
            <w:r w:rsidRPr="008530E8">
              <w:rPr>
                <w:rFonts w:ascii="Arial Narrow" w:hAnsi="Arial Narrow" w:cs="Arial"/>
                <w:b/>
                <w:bCs/>
                <w:color w:val="000000"/>
                <w:vertAlign w:val="superscript"/>
                <w:lang w:eastAsia="es-CO"/>
              </w:rPr>
              <w:t>3</w:t>
            </w:r>
          </w:p>
        </w:tc>
        <w:tc>
          <w:tcPr>
            <w:tcW w:w="0" w:type="auto"/>
            <w:tcBorders>
              <w:top w:val="nil"/>
              <w:left w:val="nil"/>
              <w:bottom w:val="single" w:sz="8" w:space="0" w:color="A6A6A6"/>
              <w:right w:val="single" w:sz="8" w:space="0" w:color="A6A6A6"/>
            </w:tcBorders>
            <w:shd w:val="clear" w:color="000000" w:fill="F2F2F2"/>
            <w:vAlign w:val="center"/>
            <w:hideMark/>
          </w:tcPr>
          <w:p w14:paraId="2EC7D507"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$/usuario-mes</w:t>
            </w:r>
          </w:p>
        </w:tc>
        <w:tc>
          <w:tcPr>
            <w:tcW w:w="0" w:type="auto"/>
            <w:tcBorders>
              <w:top w:val="nil"/>
              <w:left w:val="nil"/>
              <w:bottom w:val="nil"/>
              <w:right w:val="nil"/>
            </w:tcBorders>
            <w:shd w:val="clear" w:color="000000" w:fill="F2F2F2"/>
            <w:vAlign w:val="center"/>
            <w:hideMark/>
          </w:tcPr>
          <w:p w14:paraId="43443F11"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$/m</w:t>
            </w:r>
            <w:r w:rsidRPr="008530E8">
              <w:rPr>
                <w:rFonts w:ascii="Arial Narrow" w:hAnsi="Arial Narrow" w:cs="Arial"/>
                <w:b/>
                <w:bCs/>
                <w:color w:val="000000"/>
                <w:vertAlign w:val="superscript"/>
                <w:lang w:eastAsia="es-CO"/>
              </w:rPr>
              <w:t>3</w:t>
            </w:r>
          </w:p>
        </w:tc>
        <w:tc>
          <w:tcPr>
            <w:tcW w:w="0" w:type="auto"/>
            <w:tcBorders>
              <w:top w:val="nil"/>
              <w:left w:val="single" w:sz="8" w:space="0" w:color="A6A6A6"/>
              <w:bottom w:val="single" w:sz="8" w:space="0" w:color="A6A6A6"/>
              <w:right w:val="single" w:sz="8" w:space="0" w:color="A6A6A6"/>
            </w:tcBorders>
            <w:shd w:val="clear" w:color="000000" w:fill="F2F2F2"/>
            <w:vAlign w:val="center"/>
            <w:hideMark/>
          </w:tcPr>
          <w:p w14:paraId="2C343AA1" w14:textId="77777777" w:rsidR="00A00E6A" w:rsidRPr="008530E8" w:rsidRDefault="00A00E6A" w:rsidP="00663DCE">
            <w:pPr>
              <w:spacing w:line="271" w:lineRule="auto"/>
              <w:jc w:val="center"/>
              <w:rPr>
                <w:rFonts w:ascii="Arial Narrow" w:hAnsi="Arial Narrow" w:cs="Arial"/>
                <w:b/>
                <w:bCs/>
                <w:color w:val="000000"/>
                <w:lang w:eastAsia="es-CO"/>
              </w:rPr>
            </w:pPr>
            <w:r w:rsidRPr="008530E8">
              <w:rPr>
                <w:rFonts w:ascii="Arial Narrow" w:hAnsi="Arial Narrow" w:cs="Arial"/>
                <w:b/>
                <w:bCs/>
                <w:color w:val="000000"/>
                <w:lang w:eastAsia="es-CO"/>
              </w:rPr>
              <w:t>$/m</w:t>
            </w:r>
            <w:r w:rsidRPr="008530E8">
              <w:rPr>
                <w:rFonts w:ascii="Arial Narrow" w:hAnsi="Arial Narrow" w:cs="Arial"/>
                <w:b/>
                <w:bCs/>
                <w:color w:val="000000"/>
                <w:vertAlign w:val="superscript"/>
                <w:lang w:eastAsia="es-CO"/>
              </w:rPr>
              <w:t>3</w:t>
            </w:r>
          </w:p>
        </w:tc>
      </w:tr>
      <w:tr w:rsidR="00A00E6A" w:rsidRPr="0086308E" w14:paraId="3AF3D7B8" w14:textId="77777777" w:rsidTr="006D27E5">
        <w:trPr>
          <w:trHeight w:val="359"/>
          <w:jc w:val="center"/>
        </w:trPr>
        <w:tc>
          <w:tcPr>
            <w:tcW w:w="0" w:type="auto"/>
            <w:tcBorders>
              <w:top w:val="single" w:sz="8" w:space="0" w:color="A6A6A6"/>
              <w:left w:val="single" w:sz="8" w:space="0" w:color="A6A6A6"/>
              <w:bottom w:val="nil"/>
              <w:right w:val="single" w:sz="8" w:space="0" w:color="A6A6A6"/>
            </w:tcBorders>
            <w:shd w:val="clear" w:color="auto" w:fill="auto"/>
            <w:vAlign w:val="center"/>
            <w:hideMark/>
          </w:tcPr>
          <w:p w14:paraId="7DF66A01"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Sistema Interconectado*</w:t>
            </w:r>
          </w:p>
        </w:tc>
        <w:tc>
          <w:tcPr>
            <w:tcW w:w="0" w:type="auto"/>
            <w:tcBorders>
              <w:top w:val="nil"/>
              <w:left w:val="nil"/>
              <w:bottom w:val="nil"/>
              <w:right w:val="single" w:sz="8" w:space="0" w:color="A6A6A6"/>
            </w:tcBorders>
            <w:shd w:val="clear" w:color="auto" w:fill="auto"/>
            <w:vAlign w:val="center"/>
            <w:hideMark/>
          </w:tcPr>
          <w:p w14:paraId="714DA1BF"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5,183.29</w:t>
            </w:r>
          </w:p>
        </w:tc>
        <w:tc>
          <w:tcPr>
            <w:tcW w:w="0" w:type="auto"/>
            <w:tcBorders>
              <w:top w:val="nil"/>
              <w:left w:val="nil"/>
              <w:bottom w:val="single" w:sz="8" w:space="0" w:color="A6A6A6"/>
              <w:right w:val="single" w:sz="8" w:space="0" w:color="A6A6A6"/>
            </w:tcBorders>
            <w:shd w:val="clear" w:color="auto" w:fill="auto"/>
            <w:vAlign w:val="center"/>
            <w:hideMark/>
          </w:tcPr>
          <w:p w14:paraId="4A43001E"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807.01</w:t>
            </w:r>
          </w:p>
        </w:tc>
        <w:tc>
          <w:tcPr>
            <w:tcW w:w="0" w:type="auto"/>
            <w:tcBorders>
              <w:top w:val="nil"/>
              <w:left w:val="nil"/>
              <w:bottom w:val="nil"/>
              <w:right w:val="single" w:sz="8" w:space="0" w:color="A6A6A6"/>
            </w:tcBorders>
            <w:shd w:val="clear" w:color="auto" w:fill="auto"/>
            <w:vAlign w:val="center"/>
            <w:hideMark/>
          </w:tcPr>
          <w:p w14:paraId="07684FC0"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1,614.58</w:t>
            </w:r>
          </w:p>
        </w:tc>
        <w:tc>
          <w:tcPr>
            <w:tcW w:w="0" w:type="auto"/>
            <w:tcBorders>
              <w:top w:val="nil"/>
              <w:left w:val="nil"/>
              <w:bottom w:val="single" w:sz="8" w:space="0" w:color="A6A6A6"/>
              <w:right w:val="single" w:sz="8" w:space="0" w:color="A6A6A6"/>
            </w:tcBorders>
            <w:shd w:val="clear" w:color="auto" w:fill="auto"/>
            <w:vAlign w:val="center"/>
            <w:hideMark/>
          </w:tcPr>
          <w:p w14:paraId="47C82BDA"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2,974.94</w:t>
            </w:r>
          </w:p>
        </w:tc>
        <w:tc>
          <w:tcPr>
            <w:tcW w:w="0" w:type="auto"/>
            <w:tcBorders>
              <w:top w:val="single" w:sz="8" w:space="0" w:color="A6A6A6"/>
              <w:left w:val="nil"/>
              <w:bottom w:val="nil"/>
              <w:right w:val="single" w:sz="8" w:space="0" w:color="A6A6A6"/>
            </w:tcBorders>
            <w:shd w:val="clear" w:color="auto" w:fill="auto"/>
            <w:vAlign w:val="center"/>
            <w:hideMark/>
          </w:tcPr>
          <w:p w14:paraId="65471F63"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492.64</w:t>
            </w:r>
          </w:p>
        </w:tc>
        <w:tc>
          <w:tcPr>
            <w:tcW w:w="0" w:type="auto"/>
            <w:tcBorders>
              <w:top w:val="nil"/>
              <w:left w:val="nil"/>
              <w:bottom w:val="nil"/>
              <w:right w:val="single" w:sz="8" w:space="0" w:color="A6A6A6"/>
            </w:tcBorders>
            <w:shd w:val="clear" w:color="auto" w:fill="auto"/>
            <w:vAlign w:val="center"/>
            <w:hideMark/>
          </w:tcPr>
          <w:p w14:paraId="748C06F5"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1,439.94</w:t>
            </w:r>
          </w:p>
        </w:tc>
      </w:tr>
      <w:tr w:rsidR="00A00E6A" w:rsidRPr="0086308E" w14:paraId="7D4705D4" w14:textId="77777777" w:rsidTr="006D27E5">
        <w:trPr>
          <w:trHeight w:val="130"/>
          <w:jc w:val="center"/>
        </w:trPr>
        <w:tc>
          <w:tcPr>
            <w:tcW w:w="0" w:type="auto"/>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7A78B48"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Caldas</w:t>
            </w:r>
          </w:p>
        </w:tc>
        <w:tc>
          <w:tcPr>
            <w:tcW w:w="0" w:type="auto"/>
            <w:tcBorders>
              <w:top w:val="single" w:sz="8" w:space="0" w:color="A6A6A6"/>
              <w:left w:val="nil"/>
              <w:bottom w:val="single" w:sz="8" w:space="0" w:color="A6A6A6"/>
              <w:right w:val="single" w:sz="8" w:space="0" w:color="A6A6A6"/>
            </w:tcBorders>
            <w:shd w:val="clear" w:color="auto" w:fill="auto"/>
            <w:noWrap/>
            <w:vAlign w:val="center"/>
            <w:hideMark/>
          </w:tcPr>
          <w:p w14:paraId="3197100A"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5,183.29</w:t>
            </w:r>
          </w:p>
        </w:tc>
        <w:tc>
          <w:tcPr>
            <w:tcW w:w="0" w:type="auto"/>
            <w:tcBorders>
              <w:top w:val="nil"/>
              <w:left w:val="nil"/>
              <w:bottom w:val="single" w:sz="8" w:space="0" w:color="A6A6A6"/>
              <w:right w:val="single" w:sz="8" w:space="0" w:color="A6A6A6"/>
            </w:tcBorders>
            <w:shd w:val="clear" w:color="auto" w:fill="auto"/>
            <w:noWrap/>
            <w:vAlign w:val="center"/>
            <w:hideMark/>
          </w:tcPr>
          <w:p w14:paraId="0B4F2308"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962.00</w:t>
            </w:r>
          </w:p>
        </w:tc>
        <w:tc>
          <w:tcPr>
            <w:tcW w:w="0" w:type="auto"/>
            <w:tcBorders>
              <w:top w:val="single" w:sz="8" w:space="0" w:color="A6A6A6"/>
              <w:left w:val="nil"/>
              <w:bottom w:val="single" w:sz="8" w:space="0" w:color="A6A6A6"/>
              <w:right w:val="single" w:sz="8" w:space="0" w:color="A6A6A6"/>
            </w:tcBorders>
            <w:shd w:val="clear" w:color="auto" w:fill="auto"/>
            <w:noWrap/>
            <w:vAlign w:val="center"/>
            <w:hideMark/>
          </w:tcPr>
          <w:p w14:paraId="75FFA3BF"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901.94</w:t>
            </w:r>
          </w:p>
        </w:tc>
        <w:tc>
          <w:tcPr>
            <w:tcW w:w="0" w:type="auto"/>
            <w:tcBorders>
              <w:top w:val="nil"/>
              <w:left w:val="nil"/>
              <w:bottom w:val="single" w:sz="8" w:space="0" w:color="A6A6A6"/>
              <w:right w:val="nil"/>
            </w:tcBorders>
            <w:shd w:val="clear" w:color="auto" w:fill="auto"/>
            <w:noWrap/>
            <w:vAlign w:val="center"/>
            <w:hideMark/>
          </w:tcPr>
          <w:p w14:paraId="6B39DF47"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2,974.94</w:t>
            </w:r>
          </w:p>
        </w:tc>
        <w:tc>
          <w:tcPr>
            <w:tcW w:w="0" w:type="auto"/>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2637A19A"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188.46</w:t>
            </w:r>
          </w:p>
        </w:tc>
        <w:tc>
          <w:tcPr>
            <w:tcW w:w="0" w:type="auto"/>
            <w:tcBorders>
              <w:top w:val="single" w:sz="8" w:space="0" w:color="A6A6A6"/>
              <w:left w:val="nil"/>
              <w:bottom w:val="single" w:sz="8" w:space="0" w:color="A6A6A6"/>
              <w:right w:val="single" w:sz="8" w:space="0" w:color="A6A6A6"/>
            </w:tcBorders>
            <w:shd w:val="clear" w:color="auto" w:fill="auto"/>
            <w:noWrap/>
            <w:vAlign w:val="center"/>
            <w:hideMark/>
          </w:tcPr>
          <w:p w14:paraId="3F3F5FB2"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941.84</w:t>
            </w:r>
          </w:p>
        </w:tc>
      </w:tr>
      <w:tr w:rsidR="00A00E6A" w:rsidRPr="0086308E" w14:paraId="65E25A9D" w14:textId="77777777" w:rsidTr="006D27E5">
        <w:trPr>
          <w:trHeight w:val="192"/>
          <w:jc w:val="center"/>
        </w:trPr>
        <w:tc>
          <w:tcPr>
            <w:tcW w:w="0" w:type="auto"/>
            <w:tcBorders>
              <w:top w:val="nil"/>
              <w:left w:val="single" w:sz="8" w:space="0" w:color="A6A6A6"/>
              <w:bottom w:val="single" w:sz="8" w:space="0" w:color="A6A6A6"/>
              <w:right w:val="single" w:sz="8" w:space="0" w:color="A6A6A6"/>
            </w:tcBorders>
            <w:shd w:val="clear" w:color="auto" w:fill="auto"/>
            <w:noWrap/>
            <w:vAlign w:val="center"/>
            <w:hideMark/>
          </w:tcPr>
          <w:p w14:paraId="28B791E0"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Barbosa</w:t>
            </w:r>
          </w:p>
        </w:tc>
        <w:tc>
          <w:tcPr>
            <w:tcW w:w="0" w:type="auto"/>
            <w:tcBorders>
              <w:top w:val="nil"/>
              <w:left w:val="nil"/>
              <w:bottom w:val="single" w:sz="8" w:space="0" w:color="A6A6A6"/>
              <w:right w:val="single" w:sz="8" w:space="0" w:color="A6A6A6"/>
            </w:tcBorders>
            <w:shd w:val="clear" w:color="auto" w:fill="auto"/>
            <w:noWrap/>
            <w:vAlign w:val="center"/>
            <w:hideMark/>
          </w:tcPr>
          <w:p w14:paraId="2563FB98"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5</w:t>
            </w:r>
            <w:r>
              <w:rPr>
                <w:rFonts w:ascii="Arial Narrow" w:hAnsi="Arial Narrow" w:cs="Arial"/>
                <w:color w:val="000000"/>
                <w:lang w:eastAsia="es-CO"/>
              </w:rPr>
              <w:t>,</w:t>
            </w:r>
            <w:r w:rsidRPr="00A40661">
              <w:rPr>
                <w:rFonts w:ascii="Arial Narrow" w:hAnsi="Arial Narrow" w:cs="Arial"/>
                <w:color w:val="000000"/>
                <w:lang w:eastAsia="es-CO"/>
              </w:rPr>
              <w:t>183.29</w:t>
            </w:r>
          </w:p>
        </w:tc>
        <w:tc>
          <w:tcPr>
            <w:tcW w:w="0" w:type="auto"/>
            <w:tcBorders>
              <w:top w:val="nil"/>
              <w:left w:val="nil"/>
              <w:bottom w:val="single" w:sz="8" w:space="0" w:color="A6A6A6"/>
              <w:right w:val="single" w:sz="8" w:space="0" w:color="A6A6A6"/>
            </w:tcBorders>
            <w:shd w:val="clear" w:color="auto" w:fill="auto"/>
            <w:noWrap/>
            <w:vAlign w:val="center"/>
            <w:hideMark/>
          </w:tcPr>
          <w:p w14:paraId="07B7B90F"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849.08</w:t>
            </w:r>
          </w:p>
        </w:tc>
        <w:tc>
          <w:tcPr>
            <w:tcW w:w="0" w:type="auto"/>
            <w:tcBorders>
              <w:top w:val="nil"/>
              <w:left w:val="nil"/>
              <w:bottom w:val="single" w:sz="8" w:space="0" w:color="A6A6A6"/>
              <w:right w:val="single" w:sz="8" w:space="0" w:color="A6A6A6"/>
            </w:tcBorders>
            <w:shd w:val="clear" w:color="auto" w:fill="auto"/>
            <w:noWrap/>
            <w:vAlign w:val="center"/>
            <w:hideMark/>
          </w:tcPr>
          <w:p w14:paraId="2E4328D3"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2,346.77</w:t>
            </w:r>
          </w:p>
        </w:tc>
        <w:tc>
          <w:tcPr>
            <w:tcW w:w="0" w:type="auto"/>
            <w:tcBorders>
              <w:top w:val="nil"/>
              <w:left w:val="nil"/>
              <w:bottom w:val="single" w:sz="8" w:space="0" w:color="A6A6A6"/>
              <w:right w:val="nil"/>
            </w:tcBorders>
            <w:shd w:val="clear" w:color="auto" w:fill="auto"/>
            <w:noWrap/>
            <w:vAlign w:val="center"/>
            <w:hideMark/>
          </w:tcPr>
          <w:p w14:paraId="6181FF37"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2</w:t>
            </w:r>
            <w:r>
              <w:rPr>
                <w:rFonts w:ascii="Arial Narrow" w:hAnsi="Arial Narrow" w:cs="Arial"/>
                <w:color w:val="000000"/>
                <w:lang w:eastAsia="es-CO"/>
              </w:rPr>
              <w:t>,</w:t>
            </w:r>
            <w:r w:rsidRPr="00A40661">
              <w:rPr>
                <w:rFonts w:ascii="Arial Narrow" w:hAnsi="Arial Narrow" w:cs="Arial"/>
                <w:color w:val="000000"/>
                <w:lang w:eastAsia="es-CO"/>
              </w:rPr>
              <w:t>974.94</w:t>
            </w:r>
          </w:p>
        </w:tc>
        <w:tc>
          <w:tcPr>
            <w:tcW w:w="0" w:type="auto"/>
            <w:tcBorders>
              <w:top w:val="nil"/>
              <w:left w:val="single" w:sz="8" w:space="0" w:color="A6A6A6"/>
              <w:bottom w:val="single" w:sz="8" w:space="0" w:color="A6A6A6"/>
              <w:right w:val="single" w:sz="8" w:space="0" w:color="A6A6A6"/>
            </w:tcBorders>
            <w:shd w:val="clear" w:color="auto" w:fill="auto"/>
            <w:noWrap/>
            <w:vAlign w:val="center"/>
            <w:hideMark/>
          </w:tcPr>
          <w:p w14:paraId="5328D5A5"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232.47</w:t>
            </w:r>
          </w:p>
        </w:tc>
        <w:tc>
          <w:tcPr>
            <w:tcW w:w="0" w:type="auto"/>
            <w:tcBorders>
              <w:top w:val="nil"/>
              <w:left w:val="nil"/>
              <w:bottom w:val="single" w:sz="8" w:space="0" w:color="A6A6A6"/>
              <w:right w:val="single" w:sz="8" w:space="0" w:color="A6A6A6"/>
            </w:tcBorders>
            <w:shd w:val="clear" w:color="auto" w:fill="auto"/>
            <w:noWrap/>
            <w:vAlign w:val="center"/>
            <w:hideMark/>
          </w:tcPr>
          <w:p w14:paraId="6098EDA9"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1,611.18</w:t>
            </w:r>
          </w:p>
        </w:tc>
      </w:tr>
      <w:tr w:rsidR="00A00E6A" w:rsidRPr="0086308E" w14:paraId="7E2BB92A" w14:textId="77777777" w:rsidTr="006D27E5">
        <w:trPr>
          <w:trHeight w:val="147"/>
          <w:jc w:val="center"/>
        </w:trPr>
        <w:tc>
          <w:tcPr>
            <w:tcW w:w="0" w:type="auto"/>
            <w:tcBorders>
              <w:top w:val="nil"/>
              <w:left w:val="single" w:sz="8" w:space="0" w:color="A6A6A6"/>
              <w:bottom w:val="single" w:sz="8" w:space="0" w:color="A6A6A6"/>
              <w:right w:val="single" w:sz="8" w:space="0" w:color="A6A6A6"/>
            </w:tcBorders>
            <w:shd w:val="clear" w:color="auto" w:fill="auto"/>
            <w:noWrap/>
            <w:vAlign w:val="center"/>
            <w:hideMark/>
          </w:tcPr>
          <w:p w14:paraId="37BB1A4B"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Rionegro</w:t>
            </w:r>
          </w:p>
        </w:tc>
        <w:tc>
          <w:tcPr>
            <w:tcW w:w="0" w:type="auto"/>
            <w:tcBorders>
              <w:top w:val="nil"/>
              <w:left w:val="nil"/>
              <w:bottom w:val="single" w:sz="8" w:space="0" w:color="A6A6A6"/>
              <w:right w:val="single" w:sz="8" w:space="0" w:color="A6A6A6"/>
            </w:tcBorders>
            <w:shd w:val="clear" w:color="auto" w:fill="auto"/>
            <w:noWrap/>
            <w:vAlign w:val="center"/>
            <w:hideMark/>
          </w:tcPr>
          <w:p w14:paraId="1FEC803F"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5</w:t>
            </w:r>
            <w:r>
              <w:rPr>
                <w:rFonts w:ascii="Arial Narrow" w:hAnsi="Arial Narrow" w:cs="Arial"/>
                <w:color w:val="000000"/>
                <w:lang w:eastAsia="es-CO"/>
              </w:rPr>
              <w:t>,</w:t>
            </w:r>
            <w:r w:rsidRPr="00A40661">
              <w:rPr>
                <w:rFonts w:ascii="Arial Narrow" w:hAnsi="Arial Narrow" w:cs="Arial"/>
                <w:color w:val="000000"/>
                <w:lang w:eastAsia="es-CO"/>
              </w:rPr>
              <w:t>076.89</w:t>
            </w:r>
          </w:p>
        </w:tc>
        <w:tc>
          <w:tcPr>
            <w:tcW w:w="0" w:type="auto"/>
            <w:tcBorders>
              <w:top w:val="nil"/>
              <w:left w:val="nil"/>
              <w:bottom w:val="single" w:sz="8" w:space="0" w:color="A6A6A6"/>
              <w:right w:val="single" w:sz="8" w:space="0" w:color="A6A6A6"/>
            </w:tcBorders>
            <w:shd w:val="clear" w:color="auto" w:fill="auto"/>
            <w:noWrap/>
            <w:vAlign w:val="center"/>
            <w:hideMark/>
          </w:tcPr>
          <w:p w14:paraId="4F00B1ED"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w:t>
            </w:r>
            <w:r>
              <w:rPr>
                <w:rFonts w:ascii="Arial Narrow" w:hAnsi="Arial Narrow" w:cs="Arial"/>
                <w:color w:val="000000"/>
                <w:lang w:eastAsia="es-CO"/>
              </w:rPr>
              <w:t>,</w:t>
            </w:r>
            <w:r w:rsidRPr="00A40661">
              <w:rPr>
                <w:rFonts w:ascii="Arial Narrow" w:hAnsi="Arial Narrow" w:cs="Arial"/>
                <w:color w:val="000000"/>
                <w:lang w:eastAsia="es-CO"/>
              </w:rPr>
              <w:t>048.78</w:t>
            </w:r>
          </w:p>
        </w:tc>
        <w:tc>
          <w:tcPr>
            <w:tcW w:w="0" w:type="auto"/>
            <w:tcBorders>
              <w:top w:val="nil"/>
              <w:left w:val="nil"/>
              <w:bottom w:val="single" w:sz="8" w:space="0" w:color="A6A6A6"/>
              <w:right w:val="single" w:sz="8" w:space="0" w:color="A6A6A6"/>
            </w:tcBorders>
            <w:shd w:val="clear" w:color="auto" w:fill="auto"/>
            <w:noWrap/>
            <w:vAlign w:val="center"/>
            <w:hideMark/>
          </w:tcPr>
          <w:p w14:paraId="68B69E0C"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884.50</w:t>
            </w:r>
          </w:p>
        </w:tc>
        <w:tc>
          <w:tcPr>
            <w:tcW w:w="0" w:type="auto"/>
            <w:tcBorders>
              <w:top w:val="nil"/>
              <w:left w:val="nil"/>
              <w:bottom w:val="single" w:sz="8" w:space="0" w:color="A6A6A6"/>
              <w:right w:val="nil"/>
            </w:tcBorders>
            <w:shd w:val="clear" w:color="auto" w:fill="auto"/>
            <w:noWrap/>
            <w:vAlign w:val="center"/>
            <w:hideMark/>
          </w:tcPr>
          <w:p w14:paraId="40DA211B"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3</w:t>
            </w:r>
            <w:r>
              <w:rPr>
                <w:rFonts w:ascii="Arial Narrow" w:hAnsi="Arial Narrow" w:cs="Arial"/>
                <w:color w:val="000000"/>
                <w:lang w:eastAsia="es-CO"/>
              </w:rPr>
              <w:t>,</w:t>
            </w:r>
            <w:r w:rsidRPr="00A40661">
              <w:rPr>
                <w:rFonts w:ascii="Arial Narrow" w:hAnsi="Arial Narrow" w:cs="Arial"/>
                <w:color w:val="000000"/>
                <w:lang w:eastAsia="es-CO"/>
              </w:rPr>
              <w:t>288.57</w:t>
            </w:r>
          </w:p>
        </w:tc>
        <w:tc>
          <w:tcPr>
            <w:tcW w:w="0" w:type="auto"/>
            <w:tcBorders>
              <w:top w:val="nil"/>
              <w:left w:val="single" w:sz="8" w:space="0" w:color="A6A6A6"/>
              <w:bottom w:val="single" w:sz="8" w:space="0" w:color="A6A6A6"/>
              <w:right w:val="single" w:sz="8" w:space="0" w:color="A6A6A6"/>
            </w:tcBorders>
            <w:shd w:val="clear" w:color="auto" w:fill="auto"/>
            <w:noWrap/>
            <w:vAlign w:val="center"/>
            <w:hideMark/>
          </w:tcPr>
          <w:p w14:paraId="0B34CE1F"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624.91</w:t>
            </w:r>
          </w:p>
        </w:tc>
        <w:tc>
          <w:tcPr>
            <w:tcW w:w="0" w:type="auto"/>
            <w:tcBorders>
              <w:top w:val="nil"/>
              <w:left w:val="nil"/>
              <w:bottom w:val="single" w:sz="8" w:space="0" w:color="A6A6A6"/>
              <w:right w:val="single" w:sz="8" w:space="0" w:color="A6A6A6"/>
            </w:tcBorders>
            <w:shd w:val="clear" w:color="auto" w:fill="auto"/>
            <w:noWrap/>
            <w:vAlign w:val="center"/>
            <w:hideMark/>
          </w:tcPr>
          <w:p w14:paraId="03D42F6A" w14:textId="77777777" w:rsidR="00A00E6A" w:rsidRPr="00A40661" w:rsidRDefault="00A00E6A" w:rsidP="00663DCE">
            <w:pPr>
              <w:spacing w:line="271" w:lineRule="auto"/>
              <w:jc w:val="center"/>
              <w:rPr>
                <w:rFonts w:ascii="Arial Narrow" w:hAnsi="Arial Narrow" w:cs="Arial"/>
                <w:color w:val="000000"/>
                <w:lang w:eastAsia="es-CO"/>
              </w:rPr>
            </w:pPr>
            <w:r w:rsidRPr="00A40661">
              <w:rPr>
                <w:rFonts w:ascii="Arial Narrow" w:hAnsi="Arial Narrow" w:cs="Arial"/>
                <w:color w:val="000000"/>
                <w:lang w:eastAsia="es-CO"/>
              </w:rPr>
              <w:t>1,176.04</w:t>
            </w:r>
          </w:p>
        </w:tc>
      </w:tr>
      <w:tr w:rsidR="00A00E6A" w:rsidRPr="0086308E" w14:paraId="2D4B9F45" w14:textId="77777777" w:rsidTr="006D27E5">
        <w:trPr>
          <w:trHeight w:val="117"/>
          <w:jc w:val="center"/>
        </w:trPr>
        <w:tc>
          <w:tcPr>
            <w:tcW w:w="0" w:type="auto"/>
            <w:gridSpan w:val="7"/>
            <w:tcBorders>
              <w:top w:val="nil"/>
              <w:left w:val="nil"/>
              <w:bottom w:val="nil"/>
            </w:tcBorders>
            <w:shd w:val="clear" w:color="auto" w:fill="auto"/>
            <w:noWrap/>
            <w:hideMark/>
          </w:tcPr>
          <w:p w14:paraId="6E6B8148" w14:textId="77777777" w:rsidR="00A00E6A" w:rsidRPr="00B1630D" w:rsidRDefault="00A00E6A" w:rsidP="00663DCE">
            <w:pPr>
              <w:spacing w:line="271" w:lineRule="auto"/>
              <w:rPr>
                <w:rFonts w:ascii="Arial Narrow" w:hAnsi="Arial Narrow" w:cs="Arial"/>
                <w:sz w:val="20"/>
                <w:szCs w:val="20"/>
                <w:lang w:eastAsia="es-CO"/>
              </w:rPr>
            </w:pPr>
            <w:r w:rsidRPr="00B1630D">
              <w:rPr>
                <w:rFonts w:ascii="Arial Narrow" w:hAnsi="Arial Narrow" w:cs="Arial"/>
                <w:color w:val="000000"/>
                <w:sz w:val="18"/>
                <w:szCs w:val="18"/>
                <w:lang w:eastAsia="es-CO"/>
              </w:rPr>
              <w:t>*La Estrella, Sabaneta, Itagüí, Envigado, Medellín, Bello, Girardota, Copacabana</w:t>
            </w:r>
          </w:p>
        </w:tc>
      </w:tr>
      <w:tr w:rsidR="00A00E6A" w:rsidRPr="0086308E" w14:paraId="1E4FF464" w14:textId="77777777" w:rsidTr="006D27E5">
        <w:trPr>
          <w:trHeight w:val="410"/>
          <w:jc w:val="center"/>
        </w:trPr>
        <w:tc>
          <w:tcPr>
            <w:tcW w:w="0" w:type="auto"/>
            <w:gridSpan w:val="7"/>
            <w:tcBorders>
              <w:top w:val="nil"/>
              <w:left w:val="nil"/>
              <w:bottom w:val="nil"/>
              <w:right w:val="nil"/>
            </w:tcBorders>
            <w:shd w:val="clear" w:color="auto" w:fill="auto"/>
            <w:hideMark/>
          </w:tcPr>
          <w:p w14:paraId="4929D423" w14:textId="77777777" w:rsidR="00A00E6A" w:rsidRPr="00B1630D" w:rsidRDefault="00A00E6A" w:rsidP="00663DCE">
            <w:pPr>
              <w:spacing w:line="271" w:lineRule="auto"/>
              <w:jc w:val="both"/>
              <w:rPr>
                <w:rFonts w:ascii="Arial Narrow" w:hAnsi="Arial Narrow" w:cs="Arial"/>
                <w:color w:val="000000"/>
                <w:sz w:val="18"/>
                <w:szCs w:val="18"/>
                <w:lang w:eastAsia="es-CO"/>
              </w:rPr>
            </w:pPr>
            <w:r w:rsidRPr="00B1630D">
              <w:rPr>
                <w:rFonts w:ascii="Arial Narrow" w:hAnsi="Arial Narrow" w:cs="Arial"/>
                <w:color w:val="000000"/>
                <w:sz w:val="18"/>
                <w:szCs w:val="18"/>
                <w:lang w:eastAsia="es-CO"/>
              </w:rPr>
              <w:t xml:space="preserve">El </w:t>
            </w:r>
            <w:proofErr w:type="spellStart"/>
            <w:r w:rsidRPr="00B1630D">
              <w:rPr>
                <w:rFonts w:ascii="Arial Narrow" w:hAnsi="Arial Narrow" w:cs="Arial"/>
                <w:color w:val="000000"/>
                <w:sz w:val="18"/>
                <w:szCs w:val="18"/>
                <w:lang w:eastAsia="es-CO"/>
              </w:rPr>
              <w:t>CMTac</w:t>
            </w:r>
            <w:proofErr w:type="spellEnd"/>
            <w:r w:rsidRPr="00B1630D">
              <w:rPr>
                <w:rFonts w:ascii="Arial Narrow" w:hAnsi="Arial Narrow" w:cs="Arial"/>
                <w:color w:val="000000"/>
                <w:sz w:val="18"/>
                <w:szCs w:val="18"/>
                <w:lang w:eastAsia="es-CO"/>
              </w:rPr>
              <w:t xml:space="preserve"> conocido a la fecha es 19.29 $/m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el sistema Interconectado, 6.32 $/m</w:t>
            </w:r>
            <w:r w:rsidRPr="00B1630D">
              <w:rPr>
                <w:rFonts w:ascii="Arial Narrow" w:hAnsi="Arial Narrow" w:cs="Arial"/>
                <w:color w:val="000000"/>
                <w:sz w:val="18"/>
                <w:szCs w:val="18"/>
                <w:vertAlign w:val="superscript"/>
                <w:lang w:eastAsia="es-CO"/>
              </w:rPr>
              <w:t xml:space="preserve">3 </w:t>
            </w:r>
            <w:r w:rsidRPr="00B1630D">
              <w:rPr>
                <w:rFonts w:ascii="Arial Narrow" w:hAnsi="Arial Narrow" w:cs="Arial"/>
                <w:color w:val="000000"/>
                <w:sz w:val="18"/>
                <w:szCs w:val="18"/>
                <w:lang w:eastAsia="es-CO"/>
              </w:rPr>
              <w:t>para Caldas, 6.30 $/m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Barbosa y 14.79 $/m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Rionegro.  </w:t>
            </w:r>
          </w:p>
          <w:p w14:paraId="64BC13C9" w14:textId="77777777" w:rsidR="00A00E6A" w:rsidRPr="00B1630D" w:rsidRDefault="00A00E6A" w:rsidP="00663DCE">
            <w:pPr>
              <w:spacing w:line="271" w:lineRule="auto"/>
              <w:jc w:val="both"/>
              <w:rPr>
                <w:rFonts w:ascii="Arial Narrow" w:hAnsi="Arial Narrow" w:cs="Arial"/>
                <w:color w:val="000000"/>
                <w:sz w:val="18"/>
                <w:szCs w:val="18"/>
                <w:lang w:eastAsia="es-CO"/>
              </w:rPr>
            </w:pPr>
            <w:r w:rsidRPr="00B1630D">
              <w:rPr>
                <w:rFonts w:ascii="Arial Narrow" w:hAnsi="Arial Narrow" w:cs="Arial"/>
                <w:color w:val="000000"/>
                <w:sz w:val="18"/>
                <w:szCs w:val="18"/>
                <w:lang w:eastAsia="es-CO"/>
              </w:rPr>
              <w:t xml:space="preserve">El </w:t>
            </w:r>
            <w:proofErr w:type="spellStart"/>
            <w:r w:rsidRPr="00B1630D">
              <w:rPr>
                <w:rFonts w:ascii="Arial Narrow" w:hAnsi="Arial Narrow" w:cs="Arial"/>
                <w:color w:val="000000"/>
                <w:sz w:val="18"/>
                <w:szCs w:val="18"/>
                <w:lang w:eastAsia="es-CO"/>
              </w:rPr>
              <w:t>CMTal</w:t>
            </w:r>
            <w:proofErr w:type="spellEnd"/>
            <w:r w:rsidRPr="00B1630D">
              <w:rPr>
                <w:rFonts w:ascii="Arial Narrow" w:hAnsi="Arial Narrow" w:cs="Arial"/>
                <w:color w:val="000000"/>
                <w:sz w:val="18"/>
                <w:szCs w:val="18"/>
                <w:lang w:eastAsia="es-CO"/>
              </w:rPr>
              <w:t xml:space="preserve"> conocido a la fecha es 42,41 $/m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el sistema Interconectado, 59.23 $/m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Caldas, 59.16 $/m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Barbosa y 78.03 $/m</w:t>
            </w:r>
            <w:r w:rsidRPr="00B1630D">
              <w:rPr>
                <w:rFonts w:ascii="Arial Narrow" w:hAnsi="Arial Narrow" w:cs="Arial"/>
                <w:color w:val="000000"/>
                <w:sz w:val="18"/>
                <w:szCs w:val="18"/>
                <w:vertAlign w:val="superscript"/>
                <w:lang w:eastAsia="es-CO"/>
              </w:rPr>
              <w:t>3</w:t>
            </w:r>
            <w:r w:rsidRPr="00B1630D">
              <w:rPr>
                <w:rFonts w:ascii="Arial Narrow" w:hAnsi="Arial Narrow" w:cs="Arial"/>
                <w:color w:val="000000"/>
                <w:sz w:val="18"/>
                <w:szCs w:val="18"/>
                <w:lang w:eastAsia="es-CO"/>
              </w:rPr>
              <w:t xml:space="preserve"> para Rionegro.</w:t>
            </w:r>
          </w:p>
        </w:tc>
      </w:tr>
    </w:tbl>
    <w:p w14:paraId="4FC07227" w14:textId="77777777" w:rsidR="006D27E5" w:rsidRDefault="006D27E5" w:rsidP="006D27E5">
      <w:pPr>
        <w:jc w:val="both"/>
        <w:rPr>
          <w:rFonts w:asciiTheme="majorHAnsi" w:hAnsiTheme="majorHAnsi" w:cstheme="majorHAnsi"/>
          <w:lang w:val="es-ES"/>
        </w:rPr>
      </w:pPr>
    </w:p>
    <w:p w14:paraId="3BC483EA" w14:textId="4337326D" w:rsidR="004348BA" w:rsidRPr="003847A5" w:rsidRDefault="006D27E5" w:rsidP="006D27E5">
      <w:pPr>
        <w:jc w:val="both"/>
        <w:rPr>
          <w:rFonts w:asciiTheme="majorHAnsi" w:hAnsiTheme="majorHAnsi" w:cstheme="majorHAnsi"/>
          <w:lang w:val="es-ES"/>
        </w:rPr>
      </w:pPr>
      <w:r>
        <w:rPr>
          <w:rFonts w:asciiTheme="majorHAnsi" w:hAnsiTheme="majorHAnsi" w:cstheme="majorHAnsi"/>
          <w:lang w:val="es-ES"/>
        </w:rPr>
        <w:t>Teniendo en cuenta que la Empresa se acogió</w:t>
      </w:r>
      <w:r w:rsidRPr="00774462">
        <w:rPr>
          <w:rFonts w:asciiTheme="majorHAnsi" w:hAnsiTheme="majorHAnsi" w:cstheme="majorHAnsi"/>
          <w:lang w:val="es-ES"/>
        </w:rPr>
        <w:t xml:space="preserve"> a la aplicación del artículo 111 de la Resolución CRA 688 de 2014, el cual establece que las tarifas son un valor máximo y que el prestador puede aplicar un menor valor, debidamente soportado ante la Comisión de Regulación de Agua Potable y Saneamiento Básico que garantice el cumplimiento de los criterios señalados en el artículo 87 de la Ley 142 de 1994, de las metas del servicio y de los estándares de eficiencia, así como del plan de obras e inversiones programado, establecidos en la presente resolución. Las tarifas que aplicará a partir de los consumos del día </w:t>
      </w:r>
      <w:r w:rsidR="00BD468E">
        <w:rPr>
          <w:rFonts w:asciiTheme="majorHAnsi" w:hAnsiTheme="majorHAnsi" w:cstheme="majorHAnsi"/>
          <w:lang w:val="es-ES"/>
        </w:rPr>
        <w:t>20</w:t>
      </w:r>
      <w:r w:rsidRPr="00774462">
        <w:rPr>
          <w:rFonts w:asciiTheme="majorHAnsi" w:hAnsiTheme="majorHAnsi" w:cstheme="majorHAnsi"/>
          <w:lang w:val="es-ES"/>
        </w:rPr>
        <w:t xml:space="preserve"> del mes </w:t>
      </w:r>
      <w:r w:rsidR="00BD468E">
        <w:rPr>
          <w:rFonts w:asciiTheme="majorHAnsi" w:hAnsiTheme="majorHAnsi" w:cstheme="majorHAnsi"/>
          <w:lang w:val="es-ES"/>
        </w:rPr>
        <w:t xml:space="preserve">agosto </w:t>
      </w:r>
      <w:r w:rsidR="00FA2DB0">
        <w:rPr>
          <w:rFonts w:asciiTheme="majorHAnsi" w:hAnsiTheme="majorHAnsi" w:cstheme="majorHAnsi"/>
          <w:lang w:val="es-ES"/>
        </w:rPr>
        <w:t>están publicadas en el siguiente enlace</w:t>
      </w:r>
      <w:r w:rsidRPr="00774462">
        <w:rPr>
          <w:rFonts w:asciiTheme="majorHAnsi" w:hAnsiTheme="majorHAnsi" w:cstheme="majorHAnsi"/>
          <w:lang w:val="es-ES"/>
        </w:rPr>
        <w:t>:</w:t>
      </w:r>
      <w:bookmarkStart w:id="0" w:name="_GoBack"/>
      <w:bookmarkEnd w:id="0"/>
    </w:p>
    <w:p w14:paraId="7B6C45D1" w14:textId="77777777" w:rsidR="006D27E5" w:rsidRPr="00A00E6A" w:rsidRDefault="006D27E5" w:rsidP="00C32431">
      <w:pPr>
        <w:jc w:val="both"/>
        <w:rPr>
          <w:rFonts w:asciiTheme="majorHAnsi" w:hAnsiTheme="majorHAnsi" w:cstheme="majorHAnsi"/>
          <w:highlight w:val="yellow"/>
          <w:lang w:val="es-ES"/>
        </w:rPr>
      </w:pPr>
    </w:p>
    <w:p w14:paraId="48755524" w14:textId="77777777" w:rsidR="00C32431" w:rsidRDefault="00C32431" w:rsidP="00C32431">
      <w:pPr>
        <w:jc w:val="both"/>
        <w:rPr>
          <w:rFonts w:asciiTheme="majorHAnsi" w:hAnsiTheme="majorHAnsi" w:cstheme="majorHAnsi"/>
          <w:lang w:val="es-ES"/>
        </w:rPr>
      </w:pPr>
    </w:p>
    <w:p w14:paraId="58501A85" w14:textId="77777777" w:rsidR="008641ED" w:rsidRDefault="008641ED"/>
    <w:sectPr w:rsidR="008641E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8873" w14:textId="77777777" w:rsidR="002B134B" w:rsidRDefault="002B134B" w:rsidP="006A02F2">
      <w:pPr>
        <w:spacing w:after="0" w:line="240" w:lineRule="auto"/>
      </w:pPr>
      <w:r>
        <w:separator/>
      </w:r>
    </w:p>
  </w:endnote>
  <w:endnote w:type="continuationSeparator" w:id="0">
    <w:p w14:paraId="4BB08179" w14:textId="77777777" w:rsidR="002B134B" w:rsidRDefault="002B134B" w:rsidP="006A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9494" w14:textId="77777777" w:rsidR="006A02F2" w:rsidRDefault="006A02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BF8B" w14:textId="77777777" w:rsidR="006A02F2" w:rsidRDefault="006A02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960" w14:textId="77777777" w:rsidR="006A02F2" w:rsidRDefault="006A0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552C" w14:textId="77777777" w:rsidR="002B134B" w:rsidRDefault="002B134B" w:rsidP="006A02F2">
      <w:pPr>
        <w:spacing w:after="0" w:line="240" w:lineRule="auto"/>
      </w:pPr>
      <w:r>
        <w:separator/>
      </w:r>
    </w:p>
  </w:footnote>
  <w:footnote w:type="continuationSeparator" w:id="0">
    <w:p w14:paraId="5EEA419F" w14:textId="77777777" w:rsidR="002B134B" w:rsidRDefault="002B134B" w:rsidP="006A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BC31" w14:textId="77777777" w:rsidR="006A02F2" w:rsidRDefault="006A02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5E3C" w14:textId="0878DF0E" w:rsidR="006A02F2" w:rsidRDefault="006A02F2">
    <w:pPr>
      <w:pStyle w:val="Encabezado"/>
    </w:pPr>
    <w:r>
      <w:rPr>
        <w:rFonts w:asciiTheme="majorHAnsi" w:eastAsia="Tahoma" w:hAnsiTheme="majorHAnsi" w:cstheme="majorHAnsi"/>
        <w:noProof/>
        <w:color w:val="595959"/>
        <w:sz w:val="37"/>
      </w:rPr>
      <w:drawing>
        <wp:anchor distT="0" distB="0" distL="114300" distR="114300" simplePos="0" relativeHeight="251659264" behindDoc="0" locked="0" layoutInCell="1" allowOverlap="1" wp14:anchorId="2011C7C5" wp14:editId="540DBF64">
          <wp:simplePos x="0" y="0"/>
          <wp:positionH relativeFrom="column">
            <wp:posOffset>4867275</wp:posOffset>
          </wp:positionH>
          <wp:positionV relativeFrom="paragraph">
            <wp:posOffset>-133985</wp:posOffset>
          </wp:positionV>
          <wp:extent cx="1273141" cy="269587"/>
          <wp:effectExtent l="0" t="0" r="3810" b="0"/>
          <wp:wrapNone/>
          <wp:docPr id="2110305153" name="Imagen 211030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upo EPM.jpg"/>
                  <pic:cNvPicPr/>
                </pic:nvPicPr>
                <pic:blipFill rotWithShape="1">
                  <a:blip r:embed="rId1">
                    <a:extLst>
                      <a:ext uri="{28A0092B-C50C-407E-A947-70E740481C1C}">
                        <a14:useLocalDpi xmlns:a14="http://schemas.microsoft.com/office/drawing/2010/main" val="0"/>
                      </a:ext>
                    </a:extLst>
                  </a:blip>
                  <a:srcRect l="11303" t="34783" r="11608" b="36270"/>
                  <a:stretch/>
                </pic:blipFill>
                <pic:spPr bwMode="auto">
                  <a:xfrm>
                    <a:off x="0" y="0"/>
                    <a:ext cx="1273141" cy="269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7D63" w14:textId="77777777" w:rsidR="006A02F2" w:rsidRDefault="006A02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31"/>
    <w:rsid w:val="002B134B"/>
    <w:rsid w:val="00326E21"/>
    <w:rsid w:val="004348BA"/>
    <w:rsid w:val="006A02F2"/>
    <w:rsid w:val="006D27E5"/>
    <w:rsid w:val="008641ED"/>
    <w:rsid w:val="00A00E6A"/>
    <w:rsid w:val="00BD468E"/>
    <w:rsid w:val="00C32431"/>
    <w:rsid w:val="00D44B58"/>
    <w:rsid w:val="00DE58DF"/>
    <w:rsid w:val="00E11633"/>
    <w:rsid w:val="00F4289F"/>
    <w:rsid w:val="00F9562D"/>
    <w:rsid w:val="00FA2D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1A94"/>
  <w15:chartTrackingRefBased/>
  <w15:docId w15:val="{6A71B7FE-27F6-4F4A-86AD-547C1E90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32431"/>
    <w:rPr>
      <w:sz w:val="16"/>
      <w:szCs w:val="16"/>
    </w:rPr>
  </w:style>
  <w:style w:type="paragraph" w:styleId="Textocomentario">
    <w:name w:val="annotation text"/>
    <w:basedOn w:val="Normal"/>
    <w:link w:val="TextocomentarioCar"/>
    <w:uiPriority w:val="99"/>
    <w:unhideWhenUsed/>
    <w:rsid w:val="00C32431"/>
    <w:pPr>
      <w:spacing w:line="240" w:lineRule="auto"/>
    </w:pPr>
    <w:rPr>
      <w:sz w:val="20"/>
      <w:szCs w:val="20"/>
    </w:rPr>
  </w:style>
  <w:style w:type="character" w:customStyle="1" w:styleId="TextocomentarioCar">
    <w:name w:val="Texto comentario Car"/>
    <w:basedOn w:val="Fuentedeprrafopredeter"/>
    <w:link w:val="Textocomentario"/>
    <w:uiPriority w:val="99"/>
    <w:rsid w:val="00C32431"/>
    <w:rPr>
      <w:sz w:val="20"/>
      <w:szCs w:val="20"/>
    </w:rPr>
  </w:style>
  <w:style w:type="paragraph" w:styleId="Textodeglobo">
    <w:name w:val="Balloon Text"/>
    <w:basedOn w:val="Normal"/>
    <w:link w:val="TextodegloboCar"/>
    <w:uiPriority w:val="99"/>
    <w:semiHidden/>
    <w:unhideWhenUsed/>
    <w:rsid w:val="00C32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431"/>
    <w:rPr>
      <w:rFonts w:ascii="Segoe UI" w:hAnsi="Segoe UI" w:cs="Segoe UI"/>
      <w:sz w:val="18"/>
      <w:szCs w:val="18"/>
    </w:rPr>
  </w:style>
  <w:style w:type="paragraph" w:styleId="Encabezado">
    <w:name w:val="header"/>
    <w:basedOn w:val="Normal"/>
    <w:link w:val="EncabezadoCar"/>
    <w:uiPriority w:val="99"/>
    <w:unhideWhenUsed/>
    <w:rsid w:val="006A0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2F2"/>
  </w:style>
  <w:style w:type="paragraph" w:styleId="Piedepgina">
    <w:name w:val="footer"/>
    <w:basedOn w:val="Normal"/>
    <w:link w:val="PiedepginaCar"/>
    <w:uiPriority w:val="99"/>
    <w:unhideWhenUsed/>
    <w:rsid w:val="006A0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TATIANA MARCELA CARDONA PALACIO</cp:lastModifiedBy>
  <cp:revision>8</cp:revision>
  <dcterms:created xsi:type="dcterms:W3CDTF">2020-07-23T18:08:00Z</dcterms:created>
  <dcterms:modified xsi:type="dcterms:W3CDTF">2020-07-26T20:04:00Z</dcterms:modified>
</cp:coreProperties>
</file>